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F04D" w14:textId="77777777" w:rsidR="00D36F8C" w:rsidRDefault="00000000">
      <w:pPr>
        <w:spacing w:after="80"/>
      </w:pPr>
      <w:r>
        <w:rPr>
          <w:rFonts w:ascii="Calibri" w:eastAsia="Calibri" w:hAnsi="Calibri" w:cs="Calibri"/>
          <w:b/>
          <w:bCs/>
          <w:sz w:val="36"/>
          <w:szCs w:val="36"/>
        </w:rPr>
        <w:t>Định lượng lợi ích khí hậu của thu gom và tái chế vỏ hộp sữa tại Việt Nam</w:t>
      </w:r>
    </w:p>
    <w:p w14:paraId="416A9709" w14:textId="77777777" w:rsidR="00D36F8C" w:rsidRDefault="00000000">
      <w:pPr>
        <w:spacing w:after="80"/>
      </w:pPr>
      <w:r>
        <w:rPr>
          <w:rFonts w:ascii="Calibri" w:eastAsia="Calibri" w:hAnsi="Calibri" w:cs="Calibri"/>
          <w:color w:val="404040"/>
          <w:sz w:val="26"/>
          <w:szCs w:val="26"/>
        </w:rPr>
        <w:t>Căn cứ khoa học và phương pháp tính CO₂e phục vụ kiểm kê khí nhà kính doanh nghiệp</w:t>
      </w:r>
    </w:p>
    <w:p w14:paraId="3130FEAD" w14:textId="77777777" w:rsidR="00D36F8C" w:rsidRDefault="00000000">
      <w:pPr>
        <w:spacing w:after="240"/>
      </w:pPr>
      <w:r>
        <w:rPr>
          <w:color w:val="595959"/>
          <w:sz w:val="20"/>
          <w:szCs w:val="20"/>
        </w:rPr>
        <w:t>Bài tổng quan phương pháp | Bản cập nhật ngày 30 tháng 9 năm 2026 (thay bản ngày 25 tháng 9 năm 2026) | GreenU</w:t>
      </w:r>
    </w:p>
    <w:p w14:paraId="3FA6F47C" w14:textId="77777777" w:rsidR="00D36F8C" w:rsidRDefault="00000000">
      <w:pPr>
        <w:pStyle w:val="Heading1"/>
      </w:pPr>
      <w:r>
        <w:t>Tóm tắt</w:t>
      </w:r>
    </w:p>
    <w:p w14:paraId="02FE1763" w14:textId="77777777" w:rsidR="00D36F8C" w:rsidRDefault="00000000">
      <w:pPr>
        <w:jc w:val="both"/>
      </w:pPr>
      <w:r>
        <w:t>Thu gom và tái chế vỏ hộp sữa giảm phát thải khí nhà kính chủ yếu vì vỏ hộp không còn bị chôn lấp hoặc đốt. Thay thế vật liệu nguyên sinh đóng góp phần nhỏ hơn. Bài cập nhật này đối chiếu lại năm nghiên cứu định lượng đã dùng ở bản trước, bổ sung chuẩn mực hạch toán và dữ liệu xử lý rác của Hà Nội, Đà Nẵng, Quảng Ninh và TP. Hồ Chí Minh. Từ đó bài đề xuất một phương pháp tính hai sổ. Sổ A tính mức giảm phát thải Scope 3 Category 12 mà doanh nghiệp sữa được ghi vào kiểm kê. Sổ B tính phát thải tránh được của chương trình so với kịch bản đối chứng, báo cáo riêng. Với tham số mặc định IPCC, methane tránh được ở bãi chôn lấp chiếm 80% đến gần 100% lợi ích ròng. Lợi ích ròng nằm trong khoảng 0,6 đến 3,3 tCO₂e mỗi tấn vỏ hộp khô, trung tâm 2,1. Khi áp dụng cho bốn điểm thu gom có nhà máy tái chế đặt tại TP. Hồ Chí Minh, kết quả trung tâm là 2,13 (Đà Nẵng), 1,98 (TP. Hồ Chí Minh), 0,78 (Quảng Ninh) và 0,34 tCO₂e/tấn (Hà Nội). Hà Nội thấp vì phần lớn rác đã vào lò đốt phát điện và vì vỏ hộp phải chở 1.720 km. Các con số này là minh họa với số liệu ví dụ. Chúng chỉ trở thành hệ số của chương trình sau khi có khảo sát đối chứng, số liệu nhà máy và thẩm tra độc lập.</w:t>
      </w:r>
    </w:p>
    <w:p w14:paraId="68D3D860" w14:textId="77777777" w:rsidR="00D36F8C" w:rsidRDefault="00000000">
      <w:pPr>
        <w:spacing w:after="160"/>
        <w:jc w:val="both"/>
      </w:pPr>
      <w:r>
        <w:t>Từ khóa: vỏ hộp sữa; bao bì giấy nhiều lớp; đánh giá vòng đời; methane bãi chôn lấp; phát thải tránh được; Scope 3 Category 12; CO₂e.</w:t>
      </w:r>
    </w:p>
    <w:p w14:paraId="79049612" w14:textId="77777777" w:rsidR="00D36F8C" w:rsidRDefault="00000000">
      <w:pPr>
        <w:pStyle w:val="Heading1"/>
      </w:pPr>
      <w:r>
        <w:t>1 Đặt vấn đề</w:t>
      </w:r>
    </w:p>
    <w:p w14:paraId="3FFE1D09" w14:textId="77777777" w:rsidR="00D36F8C" w:rsidRDefault="00000000">
      <w:pPr>
        <w:jc w:val="both"/>
      </w:pPr>
      <w:r>
        <w:t>Bao bì giấy nhiều lớp đựng sữa gồm khoảng 75% bìa giấy, 20% polyethylene (PE) và 5% nhôm tính theo khối lượng (Robertson, 2021). Chuyển dòng vỏ hộp sau tiêu dùng sang tái chế tạo ra phát thải vận hành mới. Đồng thời, chương trình tránh được phát thải của tuyến xử lý cũ và thu được vật liệu thứ cấp. Vì vậy, khối lượng thu gom đơn thuần chưa chứng minh được mức giảm khí nhà kính.</w:t>
      </w:r>
    </w:p>
    <w:p w14:paraId="12ACBCB6" w14:textId="77777777" w:rsidR="00D36F8C" w:rsidRDefault="00000000">
      <w:pPr>
        <w:jc w:val="both"/>
      </w:pPr>
      <w:r>
        <w:t>Doanh nghiệp sữa thường hỏi chung một câu: chương trình giúp giảm bao nhiêu tCO₂e. Thực ra đây là hai câu hỏi có ranh giới khác nhau. Câu thứ nhất thuộc về kiểm kê: phát thải cuối vòng đời của bao bì doanh nghiệp đã bán (Scope 3 Category 12) giảm bao nhiêu khi tỷ lệ tái chế tăng. Câu thứ hai thuộc về hạch toán dự án: với cùng lượng vỏ hộp và chức năng vật liệu tương đương, hệ thống có chương trình phát thải ít hơn bao nhiêu so với hệ thống không có chương trình. Bài này trả lời cả hai câu và giữ kết quả ở hai sổ riêng.</w:t>
      </w:r>
    </w:p>
    <w:p w14:paraId="07D04ED0" w14:textId="77777777" w:rsidR="00D36F8C" w:rsidRDefault="00000000">
      <w:pPr>
        <w:jc w:val="both"/>
      </w:pPr>
      <w:r>
        <w:t>Phạm vi gồm vỏ hộp giấy nhiều lớp sau tiêu dùng. Bài không xét lon sữa, chai nhựa và phát thải sản xuất sữa. Các chương trình do GreenU điều phối là đối tượng áp dụng. Bối cảnh cụ thể gồm bốn điểm thu gom (Hà Nội, Đà Nẵng, Quảng Ninh, TP. Hồ Chí Minh) và một nhà máy tái chế tại TP. Hồ Chí Minh.</w:t>
      </w:r>
    </w:p>
    <w:p w14:paraId="5D6C39FB" w14:textId="77777777" w:rsidR="00D36F8C" w:rsidRDefault="00000000">
      <w:pPr>
        <w:pStyle w:val="Heading1"/>
      </w:pPr>
      <w:r>
        <w:t>2 Phương pháp tổng quan</w:t>
      </w:r>
    </w:p>
    <w:p w14:paraId="1BF949C6" w14:textId="77777777" w:rsidR="00D36F8C" w:rsidRDefault="00000000">
      <w:pPr>
        <w:jc w:val="both"/>
      </w:pPr>
      <w:r>
        <w:t>Tài liệu được tìm kiếm có mục tiêu trên web đến ngày 30 tháng 9 năm 2026. Nhóm từ khóa gồm "beverage carton/milk carton recycling", "life cycle assessment", "landfill methane", "avoided emissions", "Scope 3 category 12", cùng các từ khóa tiếng Việt về xử lý rác sinh hoạt và hệ số lưới điện. Nguồn được ưu tiên gồm bài báo gốc, báo cáo có công bố phương pháp, hướng dẫn của ISO, IPCC, WRI/WBCSD, UNFCCC và văn bản pháp luật Việt Nam. Số liệu hiện trạng xử lý rác của bốn tỉnh lấy từ báo chí chính thống năm 2023 đến 2026, vì chưa có thống kê chính thức cùng kỳ. Các số này chỉ dùng làm giá trị mặc định tạm thời.</w:t>
      </w:r>
    </w:p>
    <w:p w14:paraId="458FE082" w14:textId="77777777" w:rsidR="00D36F8C" w:rsidRDefault="00000000">
      <w:pPr>
        <w:jc w:val="both"/>
      </w:pPr>
      <w:r>
        <w:lastRenderedPageBreak/>
        <w:t>Mỗi số liệu định lượng được đối chiếu với trang gốc. Bản gốc của Turner (2015), Roland Berger (2022) và AMS-III.AJ đã được đọc. Với Zhang (2026) và Mourad (2008), số liệu được đối chiếu với tóm tắt của nhà xuất bản. Bài Xie (2013) chỉ xác nhận được thông tin thư mục, vì trang nhà xuất bản từ chối truy cập khi rà soát. Đây là tổng quan có chọn lọc, không phải tổng quan hệ thống hay phân tích gộp.</w:t>
      </w:r>
    </w:p>
    <w:p w14:paraId="3BA4C22E" w14:textId="77777777" w:rsidR="00D36F8C" w:rsidRDefault="00000000">
      <w:pPr>
        <w:pStyle w:val="Heading1"/>
      </w:pPr>
      <w:r>
        <w:t>3 Bằng chứng định lượng</w:t>
      </w:r>
    </w:p>
    <w:p w14:paraId="3ABA2837" w14:textId="77777777" w:rsidR="00D36F8C" w:rsidRDefault="00000000">
      <w:pPr>
        <w:jc w:val="both"/>
      </w:pPr>
      <w:r>
        <w:t>Bảng 1 tóm tắt năm nghiên cứu khoa học và một báo cáo ngành. Cột "Đại lượng" cho biết con số đo cái gì. G</w:t>
      </w:r>
      <w:r>
        <w:rPr>
          <w:vertAlign w:val="subscript"/>
        </w:rPr>
        <w:t>P</w:t>
      </w:r>
      <w:r>
        <w:t xml:space="preserve"> là phát thải ròng của riêng chuỗi thu gom, tái chế sau khi trừ tín dụng thay thế. ER là chênh lệch giữa đối chứng và dự án. Để so với khung tính ở mục 5, cột quy đổi dùng giả định một hộp 1 lít nặng 25 đến 32 g.</w:t>
      </w:r>
    </w:p>
    <w:p w14:paraId="12A5A717" w14:textId="77777777" w:rsidR="00D36F8C" w:rsidRDefault="00000000">
      <w:pPr>
        <w:keepNext/>
        <w:spacing w:before="160" w:after="80"/>
      </w:pPr>
      <w:r>
        <w:rPr>
          <w:rFonts w:ascii="Calibri" w:eastAsia="Calibri" w:hAnsi="Calibri" w:cs="Calibri"/>
          <w:b/>
          <w:bCs/>
          <w:sz w:val="21"/>
          <w:szCs w:val="21"/>
        </w:rPr>
        <w:t>Bảng 1 Các bằng chứng định lượng và cách đọc</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150"/>
        <w:gridCol w:w="1000"/>
        <w:gridCol w:w="1700"/>
        <w:gridCol w:w="3086"/>
      </w:tblGrid>
      <w:tr w:rsidR="00D36F8C" w14:paraId="12D112BD" w14:textId="77777777">
        <w:tblPrEx>
          <w:tblCellMar>
            <w:top w:w="0" w:type="dxa"/>
            <w:bottom w:w="0" w:type="dxa"/>
          </w:tblCellMar>
        </w:tblPrEx>
        <w:trPr>
          <w:cantSplit/>
          <w:tblHeader/>
        </w:trPr>
        <w:tc>
          <w:tcPr>
            <w:tcW w:w="20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7807E06A" w14:textId="77777777" w:rsidR="00D36F8C" w:rsidRDefault="00000000">
            <w:pPr>
              <w:spacing w:after="0" w:line="240" w:lineRule="auto"/>
            </w:pPr>
            <w:r>
              <w:rPr>
                <w:b/>
                <w:bCs/>
                <w:sz w:val="18"/>
                <w:szCs w:val="18"/>
              </w:rPr>
              <w:t>Nguồn và thiết kế</w:t>
            </w:r>
          </w:p>
        </w:tc>
        <w:tc>
          <w:tcPr>
            <w:tcW w:w="215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61393226" w14:textId="77777777" w:rsidR="00D36F8C" w:rsidRDefault="00000000">
            <w:pPr>
              <w:spacing w:after="0" w:line="240" w:lineRule="auto"/>
            </w:pPr>
            <w:r>
              <w:rPr>
                <w:b/>
                <w:bCs/>
                <w:sz w:val="18"/>
                <w:szCs w:val="18"/>
              </w:rPr>
              <w:t>Kết quả công bố</w:t>
            </w:r>
          </w:p>
        </w:tc>
        <w:tc>
          <w:tcPr>
            <w:tcW w:w="10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6A45CE5E" w14:textId="77777777" w:rsidR="00D36F8C" w:rsidRDefault="00000000">
            <w:pPr>
              <w:spacing w:after="0" w:line="240" w:lineRule="auto"/>
            </w:pPr>
            <w:r>
              <w:rPr>
                <w:b/>
                <w:bCs/>
                <w:sz w:val="18"/>
                <w:szCs w:val="18"/>
              </w:rPr>
              <w:t>Đại lượng</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130AE1F0" w14:textId="77777777" w:rsidR="00D36F8C" w:rsidRDefault="00000000">
            <w:pPr>
              <w:spacing w:after="0" w:line="240" w:lineRule="auto"/>
            </w:pPr>
            <w:r>
              <w:rPr>
                <w:b/>
                <w:bCs/>
                <w:sz w:val="18"/>
                <w:szCs w:val="18"/>
              </w:rPr>
              <w:t>Quy đổi (tCO₂e/tấn)</w:t>
            </w:r>
          </w:p>
        </w:tc>
        <w:tc>
          <w:tcPr>
            <w:tcW w:w="308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238A7C58" w14:textId="77777777" w:rsidR="00D36F8C" w:rsidRDefault="00000000">
            <w:pPr>
              <w:spacing w:after="0" w:line="240" w:lineRule="auto"/>
            </w:pPr>
            <w:r>
              <w:rPr>
                <w:b/>
                <w:bCs/>
                <w:sz w:val="18"/>
                <w:szCs w:val="18"/>
              </w:rPr>
              <w:t>Ý nghĩa và giới hạn</w:t>
            </w:r>
          </w:p>
        </w:tc>
      </w:tr>
      <w:tr w:rsidR="00D36F8C" w14:paraId="762E9320" w14:textId="77777777">
        <w:tblPrEx>
          <w:tblCellMar>
            <w:top w:w="0" w:type="dxa"/>
            <w:bottom w:w="0" w:type="dxa"/>
          </w:tblCellMar>
        </w:tblPrEx>
        <w:trPr>
          <w:cantSplit/>
        </w:trPr>
        <w:tc>
          <w:tcPr>
            <w:tcW w:w="2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9C89D2C" w14:textId="77777777" w:rsidR="00D36F8C" w:rsidRDefault="00000000">
            <w:pPr>
              <w:spacing w:after="0" w:line="240" w:lineRule="auto"/>
            </w:pPr>
            <w:hyperlink r:id="rId7" w:history="1">
              <w:r>
                <w:rPr>
                  <w:rStyle w:val="Hyperlink"/>
                  <w:sz w:val="18"/>
                  <w:szCs w:val="18"/>
                </w:rPr>
                <w:t>Zhang và cs. (2026)</w:t>
              </w:r>
            </w:hyperlink>
            <w:r>
              <w:rPr>
                <w:sz w:val="18"/>
                <w:szCs w:val="18"/>
              </w:rPr>
              <w:t>. Mạng lưới thu hồi ở trường học, Trung Quốc, kết hợp LCA</w:t>
            </w:r>
          </w:p>
        </w:tc>
        <w:tc>
          <w:tcPr>
            <w:tcW w:w="21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04289E3" w14:textId="77777777" w:rsidR="00D36F8C" w:rsidRDefault="00000000">
            <w:pPr>
              <w:spacing w:after="0" w:line="240" w:lineRule="auto"/>
            </w:pPr>
            <w:r>
              <w:rPr>
                <w:sz w:val="18"/>
                <w:szCs w:val="18"/>
              </w:rPr>
              <w:t>−0,011 kg CO₂ trên hộp tương ứng 1 lít sữa. Điện chiếm 42% gánh nặng môi trường, nước 22%</w:t>
            </w:r>
          </w:p>
        </w:tc>
        <w:tc>
          <w:tcPr>
            <w:tcW w:w="1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3B08855" w14:textId="77777777" w:rsidR="00D36F8C" w:rsidRDefault="00000000">
            <w:pPr>
              <w:spacing w:after="0" w:line="240" w:lineRule="auto"/>
            </w:pPr>
            <w:r>
              <w:rPr>
                <w:sz w:val="18"/>
                <w:szCs w:val="18"/>
              </w:rPr>
              <w:t>G</w:t>
            </w:r>
            <w:r>
              <w:rPr>
                <w:sz w:val="18"/>
                <w:szCs w:val="18"/>
                <w:vertAlign w:val="subscript"/>
              </w:rPr>
              <w:t>P</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66AE791" w14:textId="77777777" w:rsidR="00D36F8C" w:rsidRDefault="00000000">
            <w:pPr>
              <w:spacing w:after="0" w:line="240" w:lineRule="auto"/>
            </w:pPr>
            <w:r>
              <w:rPr>
                <w:sz w:val="18"/>
                <w:szCs w:val="18"/>
              </w:rPr>
              <w:t>khoảng −0,4</w:t>
            </w:r>
          </w:p>
        </w:tc>
        <w:tc>
          <w:tcPr>
            <w:tcW w:w="308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E42727B" w14:textId="77777777" w:rsidR="00D36F8C" w:rsidRDefault="00000000">
            <w:pPr>
              <w:spacing w:after="0" w:line="240" w:lineRule="auto"/>
            </w:pPr>
            <w:r>
              <w:rPr>
                <w:sz w:val="18"/>
                <w:szCs w:val="18"/>
              </w:rPr>
              <w:t>Tóm tắt ghi CO₂, cần toàn văn để xác nhận CO₂e. Quy mô nhỏ chưa có lãi. Chưa gồm đối chứng chôn lấp hoặc đốt.</w:t>
            </w:r>
          </w:p>
        </w:tc>
      </w:tr>
      <w:tr w:rsidR="00D36F8C" w14:paraId="344A6814" w14:textId="77777777">
        <w:tblPrEx>
          <w:tblCellMar>
            <w:top w:w="0" w:type="dxa"/>
            <w:bottom w:w="0" w:type="dxa"/>
          </w:tblCellMar>
        </w:tblPrEx>
        <w:trPr>
          <w:cantSplit/>
        </w:trPr>
        <w:tc>
          <w:tcPr>
            <w:tcW w:w="2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3CF2689" w14:textId="77777777" w:rsidR="00D36F8C" w:rsidRDefault="00000000">
            <w:pPr>
              <w:spacing w:after="0" w:line="240" w:lineRule="auto"/>
            </w:pPr>
            <w:hyperlink r:id="rId8" w:history="1">
              <w:r>
                <w:rPr>
                  <w:rStyle w:val="Hyperlink"/>
                  <w:sz w:val="18"/>
                  <w:szCs w:val="18"/>
                </w:rPr>
                <w:t>Turner và cs. (2015)</w:t>
              </w:r>
            </w:hyperlink>
            <w:r>
              <w:rPr>
                <w:sz w:val="18"/>
                <w:szCs w:val="18"/>
              </w:rPr>
              <w:t>. LCA từng phần, vật liệu phân loại tại nguồn, Anh</w:t>
            </w:r>
          </w:p>
        </w:tc>
        <w:tc>
          <w:tcPr>
            <w:tcW w:w="21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D0655F8" w14:textId="77777777" w:rsidR="00D36F8C" w:rsidRDefault="00000000">
            <w:pPr>
              <w:spacing w:after="0" w:line="240" w:lineRule="auto"/>
            </w:pPr>
            <w:r>
              <w:rPr>
                <w:sz w:val="18"/>
                <w:szCs w:val="18"/>
              </w:rPr>
              <w:t>Bao bì thực phẩm, đồ uống composite: gross 629; net −452 kg CO₂e/tấn</w:t>
            </w:r>
          </w:p>
        </w:tc>
        <w:tc>
          <w:tcPr>
            <w:tcW w:w="1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71D0335" w14:textId="77777777" w:rsidR="00D36F8C" w:rsidRDefault="00000000">
            <w:pPr>
              <w:spacing w:after="0" w:line="240" w:lineRule="auto"/>
            </w:pPr>
            <w:r>
              <w:rPr>
                <w:sz w:val="18"/>
                <w:szCs w:val="18"/>
              </w:rPr>
              <w:t>G</w:t>
            </w:r>
            <w:r>
              <w:rPr>
                <w:sz w:val="18"/>
                <w:szCs w:val="18"/>
                <w:vertAlign w:val="subscript"/>
              </w:rPr>
              <w:t>P</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F10C253" w14:textId="77777777" w:rsidR="00D36F8C" w:rsidRDefault="00000000">
            <w:pPr>
              <w:spacing w:after="0" w:line="240" w:lineRule="auto"/>
            </w:pPr>
            <w:r>
              <w:rPr>
                <w:sz w:val="18"/>
                <w:szCs w:val="18"/>
              </w:rPr>
              <w:t>−0,45</w:t>
            </w:r>
          </w:p>
        </w:tc>
        <w:tc>
          <w:tcPr>
            <w:tcW w:w="308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0FBBB39" w14:textId="77777777" w:rsidR="00D36F8C" w:rsidRDefault="00000000">
            <w:pPr>
              <w:spacing w:after="0" w:line="240" w:lineRule="auto"/>
            </w:pPr>
            <w:r>
              <w:rPr>
                <w:sz w:val="18"/>
                <w:szCs w:val="18"/>
              </w:rPr>
              <w:t>Mở rộng hệ thống. Không gồm methane tránh được. Giả định thay thế theo thị trường Anh.</w:t>
            </w:r>
          </w:p>
        </w:tc>
      </w:tr>
      <w:tr w:rsidR="00D36F8C" w14:paraId="5EE89B3D" w14:textId="77777777">
        <w:tblPrEx>
          <w:tblCellMar>
            <w:top w:w="0" w:type="dxa"/>
            <w:bottom w:w="0" w:type="dxa"/>
          </w:tblCellMar>
        </w:tblPrEx>
        <w:trPr>
          <w:cantSplit/>
        </w:trPr>
        <w:tc>
          <w:tcPr>
            <w:tcW w:w="2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5879019" w14:textId="77777777" w:rsidR="00D36F8C" w:rsidRDefault="00000000">
            <w:pPr>
              <w:spacing w:after="0" w:line="240" w:lineRule="auto"/>
            </w:pPr>
            <w:hyperlink r:id="rId9" w:history="1">
              <w:r>
                <w:rPr>
                  <w:rStyle w:val="Hyperlink"/>
                  <w:sz w:val="18"/>
                  <w:szCs w:val="18"/>
                </w:rPr>
                <w:t>Mourad và cs. (2008)</w:t>
              </w:r>
            </w:hyperlink>
            <w:r>
              <w:rPr>
                <w:sz w:val="18"/>
                <w:szCs w:val="18"/>
              </w:rPr>
              <w:t>. LCA kịch bản tỷ lệ tái chế, Brazil</w:t>
            </w:r>
          </w:p>
        </w:tc>
        <w:tc>
          <w:tcPr>
            <w:tcW w:w="21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CAFD7D6" w14:textId="77777777" w:rsidR="00D36F8C" w:rsidRDefault="00000000">
            <w:pPr>
              <w:spacing w:after="0" w:line="240" w:lineRule="auto"/>
            </w:pPr>
            <w:r>
              <w:rPr>
                <w:sz w:val="18"/>
                <w:szCs w:val="18"/>
              </w:rPr>
              <w:t>Tái chế tăng từ 2% (2000) lên 22% (2004): giảm 14% GWP, 26 kg CO₂e cho bao bì 1.000 lít. Ở 70%: giảm 48%</w:t>
            </w:r>
          </w:p>
        </w:tc>
        <w:tc>
          <w:tcPr>
            <w:tcW w:w="1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0F814E4" w14:textId="77777777" w:rsidR="00D36F8C" w:rsidRDefault="00000000">
            <w:pPr>
              <w:spacing w:after="0" w:line="240" w:lineRule="auto"/>
            </w:pPr>
            <w:r>
              <w:rPr>
                <w:sz w:val="18"/>
                <w:szCs w:val="18"/>
              </w:rPr>
              <w:t>Chênh lệch hệ thống</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8465B1A" w14:textId="77777777" w:rsidR="00D36F8C" w:rsidRDefault="00000000">
            <w:pPr>
              <w:spacing w:after="0" w:line="240" w:lineRule="auto"/>
            </w:pPr>
            <w:r>
              <w:rPr>
                <w:sz w:val="18"/>
                <w:szCs w:val="18"/>
              </w:rPr>
              <w:t>Không quy đổi trực tiếp</w:t>
            </w:r>
          </w:p>
        </w:tc>
        <w:tc>
          <w:tcPr>
            <w:tcW w:w="308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E21B9FB" w14:textId="77777777" w:rsidR="00D36F8C" w:rsidRDefault="00000000">
            <w:pPr>
              <w:spacing w:after="0" w:line="240" w:lineRule="auto"/>
            </w:pPr>
            <w:r>
              <w:rPr>
                <w:sz w:val="18"/>
                <w:szCs w:val="18"/>
              </w:rPr>
              <w:t>Kịch bản I, chỉ tái chế giấy. Methane là khí giảm nhiều nhất. Đơn vị là hệ bao bì, không phải tấn vỏ hộp.</w:t>
            </w:r>
          </w:p>
        </w:tc>
      </w:tr>
      <w:tr w:rsidR="00D36F8C" w14:paraId="7146923B" w14:textId="77777777">
        <w:tblPrEx>
          <w:tblCellMar>
            <w:top w:w="0" w:type="dxa"/>
            <w:bottom w:w="0" w:type="dxa"/>
          </w:tblCellMar>
        </w:tblPrEx>
        <w:trPr>
          <w:cantSplit/>
        </w:trPr>
        <w:tc>
          <w:tcPr>
            <w:tcW w:w="2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C9850D3" w14:textId="77777777" w:rsidR="00D36F8C" w:rsidRDefault="00000000">
            <w:pPr>
              <w:spacing w:after="0" w:line="240" w:lineRule="auto"/>
            </w:pPr>
            <w:hyperlink r:id="rId10" w:history="1">
              <w:r>
                <w:rPr>
                  <w:rStyle w:val="Hyperlink"/>
                  <w:sz w:val="18"/>
                  <w:szCs w:val="18"/>
                </w:rPr>
                <w:t>Xie và cs. (2013)</w:t>
              </w:r>
            </w:hyperlink>
            <w:r>
              <w:rPr>
                <w:sz w:val="18"/>
                <w:szCs w:val="18"/>
              </w:rPr>
              <w:t>. LCA 1 tấn vỏ hộp, bốn phương án xử lý, Trung Quốc</w:t>
            </w:r>
          </w:p>
        </w:tc>
        <w:tc>
          <w:tcPr>
            <w:tcW w:w="21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A616414" w14:textId="77777777" w:rsidR="00D36F8C" w:rsidRDefault="00000000">
            <w:pPr>
              <w:spacing w:after="0" w:line="240" w:lineRule="auto"/>
            </w:pPr>
            <w:r>
              <w:rPr>
                <w:sz w:val="18"/>
                <w:szCs w:val="18"/>
              </w:rPr>
              <w:t>Bổ sung thu hồi nhựa và nhôm cải thiện kết quả môi trường</w:t>
            </w:r>
          </w:p>
        </w:tc>
        <w:tc>
          <w:tcPr>
            <w:tcW w:w="1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5491A4D" w14:textId="77777777" w:rsidR="00D36F8C" w:rsidRDefault="00000000">
            <w:pPr>
              <w:spacing w:after="0" w:line="240" w:lineRule="auto"/>
            </w:pPr>
            <w:r>
              <w:rPr>
                <w:sz w:val="18"/>
                <w:szCs w:val="18"/>
              </w:rPr>
              <w:t>Điểm tổng hợp</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082B6F2" w14:textId="77777777" w:rsidR="00D36F8C" w:rsidRDefault="00000000">
            <w:pPr>
              <w:spacing w:after="0" w:line="240" w:lineRule="auto"/>
            </w:pPr>
            <w:r>
              <w:rPr>
                <w:sz w:val="18"/>
                <w:szCs w:val="18"/>
              </w:rPr>
              <w:t>Không áp dụng</w:t>
            </w:r>
          </w:p>
        </w:tc>
        <w:tc>
          <w:tcPr>
            <w:tcW w:w="308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1B11385" w14:textId="77777777" w:rsidR="00D36F8C" w:rsidRDefault="00000000">
            <w:pPr>
              <w:spacing w:after="0" w:line="240" w:lineRule="auto"/>
            </w:pPr>
            <w:r>
              <w:rPr>
                <w:sz w:val="18"/>
                <w:szCs w:val="18"/>
              </w:rPr>
              <w:t>Chỉ xác nhận thư mục. Không dùng điểm tác động tổng hợp thay cho kg CO₂e.</w:t>
            </w:r>
          </w:p>
        </w:tc>
      </w:tr>
      <w:tr w:rsidR="00D36F8C" w14:paraId="612A715A" w14:textId="77777777">
        <w:tblPrEx>
          <w:tblCellMar>
            <w:top w:w="0" w:type="dxa"/>
            <w:bottom w:w="0" w:type="dxa"/>
          </w:tblCellMar>
        </w:tblPrEx>
        <w:trPr>
          <w:cantSplit/>
        </w:trPr>
        <w:tc>
          <w:tcPr>
            <w:tcW w:w="2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B64E0A0" w14:textId="77777777" w:rsidR="00D36F8C" w:rsidRDefault="00000000">
            <w:pPr>
              <w:spacing w:after="0" w:line="240" w:lineRule="auto"/>
            </w:pPr>
            <w:hyperlink r:id="rId11" w:history="1">
              <w:r>
                <w:rPr>
                  <w:rStyle w:val="Hyperlink"/>
                  <w:sz w:val="18"/>
                  <w:szCs w:val="18"/>
                </w:rPr>
                <w:t>Roland Berger (2022)</w:t>
              </w:r>
            </w:hyperlink>
            <w:r>
              <w:rPr>
                <w:sz w:val="18"/>
                <w:szCs w:val="18"/>
              </w:rPr>
              <w:t xml:space="preserve"> cho ACE. Mô hình chính sách EU</w:t>
            </w:r>
          </w:p>
        </w:tc>
        <w:tc>
          <w:tcPr>
            <w:tcW w:w="21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80A2DAC" w14:textId="77777777" w:rsidR="00D36F8C" w:rsidRDefault="00000000">
            <w:pPr>
              <w:spacing w:after="0" w:line="240" w:lineRule="auto"/>
            </w:pPr>
            <w:r>
              <w:rPr>
                <w:sz w:val="18"/>
                <w:szCs w:val="18"/>
              </w:rPr>
              <w:t>Thải bỏ ~54 g; thu gom và tái chế ~7 g; lợi ích ròng ~48 g CO₂e cho hộp 1 lít</w:t>
            </w:r>
          </w:p>
        </w:tc>
        <w:tc>
          <w:tcPr>
            <w:tcW w:w="1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986E744" w14:textId="77777777" w:rsidR="00D36F8C" w:rsidRDefault="00000000">
            <w:pPr>
              <w:spacing w:after="0" w:line="240" w:lineRule="auto"/>
            </w:pPr>
            <w:r>
              <w:rPr>
                <w:sz w:val="18"/>
                <w:szCs w:val="18"/>
              </w:rPr>
              <w:t>ER</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762F5FE" w14:textId="77777777" w:rsidR="00D36F8C" w:rsidRDefault="00000000">
            <w:pPr>
              <w:spacing w:after="0" w:line="240" w:lineRule="auto"/>
            </w:pPr>
            <w:r>
              <w:rPr>
                <w:sz w:val="18"/>
                <w:szCs w:val="18"/>
              </w:rPr>
              <w:t>1,5 đến 1,9</w:t>
            </w:r>
          </w:p>
        </w:tc>
        <w:tc>
          <w:tcPr>
            <w:tcW w:w="308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A83E664" w14:textId="77777777" w:rsidR="00D36F8C" w:rsidRDefault="00000000">
            <w:pPr>
              <w:spacing w:after="0" w:line="240" w:lineRule="auto"/>
            </w:pPr>
            <w:r>
              <w:rPr>
                <w:sz w:val="18"/>
                <w:szCs w:val="18"/>
              </w:rPr>
              <w:t>Báo cáo ngành, đối chứng thải bỏ kiểu EU. Số liệu nền từ Circular Analytics (2020).</w:t>
            </w:r>
          </w:p>
        </w:tc>
      </w:tr>
      <w:tr w:rsidR="00D36F8C" w14:paraId="06F4DBA2" w14:textId="77777777">
        <w:tblPrEx>
          <w:tblCellMar>
            <w:top w:w="0" w:type="dxa"/>
            <w:bottom w:w="0" w:type="dxa"/>
          </w:tblCellMar>
        </w:tblPrEx>
        <w:trPr>
          <w:cantSplit/>
        </w:trPr>
        <w:tc>
          <w:tcPr>
            <w:tcW w:w="2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44B8088" w14:textId="77777777" w:rsidR="00D36F8C" w:rsidRDefault="00000000">
            <w:pPr>
              <w:spacing w:after="0" w:line="240" w:lineRule="auto"/>
            </w:pPr>
            <w:hyperlink r:id="rId12" w:history="1">
              <w:r>
                <w:rPr>
                  <w:rStyle w:val="Hyperlink"/>
                  <w:sz w:val="18"/>
                  <w:szCs w:val="18"/>
                </w:rPr>
                <w:t>Chen và cs. (2025)</w:t>
              </w:r>
            </w:hyperlink>
            <w:r>
              <w:rPr>
                <w:sz w:val="18"/>
                <w:szCs w:val="18"/>
              </w:rPr>
              <w:t>. Khung đánh giá cấp tỉnh, 31 tỉnh Trung Quốc</w:t>
            </w:r>
          </w:p>
        </w:tc>
        <w:tc>
          <w:tcPr>
            <w:tcW w:w="21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F8EBE64" w14:textId="77777777" w:rsidR="00D36F8C" w:rsidRDefault="00000000">
            <w:pPr>
              <w:spacing w:after="0" w:line="240" w:lineRule="auto"/>
            </w:pPr>
            <w:r>
              <w:rPr>
                <w:sz w:val="18"/>
                <w:szCs w:val="18"/>
              </w:rPr>
              <w:t>Tiềm năng giảm 286.660 tCO₂e năm 2022</w:t>
            </w:r>
          </w:p>
        </w:tc>
        <w:tc>
          <w:tcPr>
            <w:tcW w:w="10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22AEC21" w14:textId="77777777" w:rsidR="00D36F8C" w:rsidRDefault="00000000">
            <w:pPr>
              <w:spacing w:after="0" w:line="240" w:lineRule="auto"/>
            </w:pPr>
            <w:r>
              <w:rPr>
                <w:sz w:val="18"/>
                <w:szCs w:val="18"/>
              </w:rPr>
              <w:t>Tổng cấp quốc gia</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3B173BF" w14:textId="77777777" w:rsidR="00D36F8C" w:rsidRDefault="00000000">
            <w:pPr>
              <w:spacing w:after="0" w:line="240" w:lineRule="auto"/>
            </w:pPr>
            <w:r>
              <w:rPr>
                <w:sz w:val="18"/>
                <w:szCs w:val="18"/>
              </w:rPr>
              <w:t>Tóm tắt không công bố</w:t>
            </w:r>
          </w:p>
        </w:tc>
        <w:tc>
          <w:tcPr>
            <w:tcW w:w="308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9B24459" w14:textId="77777777" w:rsidR="00D36F8C" w:rsidRDefault="00000000">
            <w:pPr>
              <w:spacing w:after="0" w:line="240" w:lineRule="auto"/>
            </w:pPr>
            <w:r>
              <w:rPr>
                <w:sz w:val="18"/>
                <w:szCs w:val="18"/>
              </w:rPr>
              <w:t>Cấu trúc thu gom gần Việt Nam hơn các nguồn châu Âu. Cần toàn văn để lấy hệ số trên tấn.</w:t>
            </w:r>
          </w:p>
        </w:tc>
      </w:tr>
    </w:tbl>
    <w:p w14:paraId="7A9A8C65" w14:textId="77777777" w:rsidR="00D36F8C" w:rsidRDefault="00000000">
      <w:pPr>
        <w:spacing w:before="60" w:after="160"/>
      </w:pPr>
      <w:r>
        <w:rPr>
          <w:i/>
          <w:iCs/>
          <w:sz w:val="19"/>
          <w:szCs w:val="19"/>
        </w:rPr>
        <w:t>Nguồn: tổng hợp của tác giả từ các tài liệu dẫn. Quy đổi là ước tính của bài này.</w:t>
      </w:r>
    </w:p>
    <w:p w14:paraId="160907E3" w14:textId="77777777" w:rsidR="00D36F8C" w:rsidRDefault="00000000">
      <w:pPr>
        <w:jc w:val="both"/>
      </w:pPr>
      <w:r>
        <w:t>Không thể lấy trung bình các kết quả trong Bảng 1 vì đơn vị chức năng, ranh giới và đối chứng khác nhau. Có thể dùng chúng để kiểm tra độ lớn. Chuỗi tái chế tự nó phát thải ròng quanh 0 hoặc âm nhẹ (−0,45 đến −0,4 tCO₂e/tấn khi được tín dụng thay thế). Lợi ích so với thải bỏ ở châu Âu khoảng 1,5 đến 1,9 tCO₂e/tấn. Kết quả âm của LCA là lợi ích tránh được lớn hơn gánh nặng trong ranh giới mô hình, không chứng minh hấp thụ CO₂ từ khí quyển.</w:t>
      </w:r>
    </w:p>
    <w:p w14:paraId="7380596B" w14:textId="77777777" w:rsidR="00D36F8C" w:rsidRDefault="00000000">
      <w:pPr>
        <w:jc w:val="both"/>
      </w:pPr>
      <w:r>
        <w:t>Phép kiểm tra độ lớn ở mục 7 cho thấy giới hạn trên hợp lý. Giả định bất lợi nhất cho đối chứng gồm bãi chôn lấp yếm khí không thu khí, sợi thay bột kraft nguyên sinh và PolyAl thay nhựa nguyên sinh. Ngay cả khi đó, lợi ích vẫn dưới 4 tCO₂e mỗi tấn khô. Một số tuyên bố truyền thông ở mức 7,5 tCO₂e/tấn (</w:t>
      </w:r>
      <w:hyperlink r:id="rId13" w:history="1">
        <w:r>
          <w:rPr>
            <w:rStyle w:val="Hyperlink"/>
          </w:rPr>
          <w:t>VTV.vn, 27/5/2026</w:t>
        </w:r>
      </w:hyperlink>
      <w:r>
        <w:t>) nằm ngoài miền này. Chỉ nên dùng lại khi có ranh giới, đối chứng và hệ số công khai.</w:t>
      </w:r>
    </w:p>
    <w:p w14:paraId="1DF3426D" w14:textId="77777777" w:rsidR="00D36F8C" w:rsidRDefault="00000000">
      <w:pPr>
        <w:pStyle w:val="Heading1"/>
      </w:pPr>
      <w:r>
        <w:t>4 Chuẩn mực hạch toán và khung pháp lý</w:t>
      </w:r>
    </w:p>
    <w:p w14:paraId="1848204C" w14:textId="77777777" w:rsidR="00D36F8C" w:rsidRDefault="00000000">
      <w:pPr>
        <w:jc w:val="both"/>
      </w:pPr>
      <w:r>
        <w:t>Bảng 2 xác định chuẩn nào quyết định sổ nào. Điểm cốt lõi là kiểm kê doanh nghiệp và phát thải tránh được đi theo hai bộ quy tắc khác nhau.</w:t>
      </w:r>
    </w:p>
    <w:p w14:paraId="220BCF24" w14:textId="77777777" w:rsidR="00D36F8C" w:rsidRDefault="00000000">
      <w:pPr>
        <w:keepNext/>
        <w:spacing w:before="160" w:after="80"/>
      </w:pPr>
      <w:r>
        <w:rPr>
          <w:rFonts w:ascii="Calibri" w:eastAsia="Calibri" w:hAnsi="Calibri" w:cs="Calibri"/>
          <w:b/>
          <w:bCs/>
          <w:sz w:val="21"/>
          <w:szCs w:val="21"/>
        </w:rPr>
        <w:lastRenderedPageBreak/>
        <w:t>Bảng 2 Chuẩn mực áp dụng</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5736"/>
      </w:tblGrid>
      <w:tr w:rsidR="00D36F8C" w14:paraId="6FFCAF1B" w14:textId="77777777">
        <w:tblPrEx>
          <w:tblCellMar>
            <w:top w:w="0" w:type="dxa"/>
            <w:bottom w:w="0" w:type="dxa"/>
          </w:tblCellMar>
        </w:tblPrEx>
        <w:trPr>
          <w:cantSplit/>
          <w:tblHeader/>
        </w:trPr>
        <w:tc>
          <w:tcPr>
            <w:tcW w:w="2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3A164F27" w14:textId="77777777" w:rsidR="00D36F8C" w:rsidRDefault="00000000">
            <w:pPr>
              <w:spacing w:after="0" w:line="240" w:lineRule="auto"/>
            </w:pPr>
            <w:r>
              <w:rPr>
                <w:b/>
                <w:bCs/>
                <w:sz w:val="18"/>
                <w:szCs w:val="18"/>
              </w:rPr>
              <w:t>Chuẩn, hướng dẫn</w:t>
            </w:r>
          </w:p>
        </w:tc>
        <w:tc>
          <w:tcPr>
            <w:tcW w:w="15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04E7520E" w14:textId="77777777" w:rsidR="00D36F8C" w:rsidRDefault="00000000">
            <w:pPr>
              <w:spacing w:after="0" w:line="240" w:lineRule="auto"/>
            </w:pPr>
            <w:r>
              <w:rPr>
                <w:b/>
                <w:bCs/>
                <w:sz w:val="18"/>
                <w:szCs w:val="18"/>
              </w:rPr>
              <w:t>Dùng cho</w:t>
            </w:r>
          </w:p>
        </w:tc>
        <w:tc>
          <w:tcPr>
            <w:tcW w:w="57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3943901E" w14:textId="77777777" w:rsidR="00D36F8C" w:rsidRDefault="00000000">
            <w:pPr>
              <w:spacing w:after="0" w:line="240" w:lineRule="auto"/>
            </w:pPr>
            <w:r>
              <w:rPr>
                <w:b/>
                <w:bCs/>
                <w:sz w:val="18"/>
                <w:szCs w:val="18"/>
              </w:rPr>
              <w:t>Điểm áp dụng</w:t>
            </w:r>
          </w:p>
        </w:tc>
      </w:tr>
      <w:tr w:rsidR="00D36F8C" w14:paraId="054C0842"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BD68157" w14:textId="77777777" w:rsidR="00D36F8C" w:rsidRDefault="00000000">
            <w:pPr>
              <w:spacing w:after="0" w:line="240" w:lineRule="auto"/>
            </w:pPr>
            <w:r>
              <w:rPr>
                <w:sz w:val="18"/>
                <w:szCs w:val="18"/>
              </w:rPr>
              <w:t>GHG Protocol Scope 3 Standard (2011) và Technical Guidance (2013)</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2CBB0C" w14:textId="77777777" w:rsidR="00D36F8C" w:rsidRDefault="00000000">
            <w:pPr>
              <w:spacing w:after="0" w:line="240" w:lineRule="auto"/>
            </w:pPr>
            <w:r>
              <w:rPr>
                <w:sz w:val="18"/>
                <w:szCs w:val="18"/>
              </w:rPr>
              <w:t>Sổ A</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210B065" w14:textId="77777777" w:rsidR="00D36F8C" w:rsidRDefault="00000000">
            <w:pPr>
              <w:spacing w:after="0" w:line="240" w:lineRule="auto"/>
            </w:pPr>
            <w:r>
              <w:rPr>
                <w:sz w:val="18"/>
                <w:szCs w:val="18"/>
              </w:rPr>
              <w:t>Category 12 ghi tổng phát thải cuối vòng đời dự kiến của sản phẩm bán trong năm. Với phần tái chế, cách cut-off (recycled content) chỉ tính vận chuyển tới cơ sở tái chế; lợi ích tránh được báo cáo riêng.</w:t>
            </w:r>
          </w:p>
        </w:tc>
      </w:tr>
      <w:tr w:rsidR="00D36F8C" w14:paraId="2C3EB876"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0E57F4D" w14:textId="77777777" w:rsidR="00D36F8C" w:rsidRDefault="00000000">
            <w:pPr>
              <w:spacing w:after="0" w:line="240" w:lineRule="auto"/>
            </w:pPr>
            <w:r>
              <w:rPr>
                <w:sz w:val="18"/>
                <w:szCs w:val="18"/>
              </w:rPr>
              <w:t>ISO 14064-1:2018</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F519713" w14:textId="77777777" w:rsidR="00D36F8C" w:rsidRDefault="00000000">
            <w:pPr>
              <w:spacing w:after="0" w:line="240" w:lineRule="auto"/>
            </w:pPr>
            <w:r>
              <w:rPr>
                <w:sz w:val="18"/>
                <w:szCs w:val="18"/>
              </w:rPr>
              <w:t>Sổ A</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81D6F2C" w14:textId="77777777" w:rsidR="00D36F8C" w:rsidRDefault="00000000">
            <w:pPr>
              <w:spacing w:after="0" w:line="240" w:lineRule="auto"/>
            </w:pPr>
            <w:r>
              <w:rPr>
                <w:sz w:val="18"/>
                <w:szCs w:val="18"/>
              </w:rPr>
              <w:t>Loại 5, phát thải gián tiếp liên quan tới sử dụng sản phẩm của tổ chức, bao gồm cuối vòng đời.</w:t>
            </w:r>
          </w:p>
        </w:tc>
      </w:tr>
      <w:tr w:rsidR="00D36F8C" w14:paraId="06F91414"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D3759A9" w14:textId="77777777" w:rsidR="00D36F8C" w:rsidRDefault="00000000">
            <w:pPr>
              <w:spacing w:after="0" w:line="240" w:lineRule="auto"/>
            </w:pPr>
            <w:r>
              <w:rPr>
                <w:sz w:val="18"/>
                <w:szCs w:val="18"/>
              </w:rPr>
              <w:t>ISO 14064-2:2019; GHG Protocol for Project Accounting (2005)</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F779D95" w14:textId="77777777" w:rsidR="00D36F8C" w:rsidRDefault="00000000">
            <w:pPr>
              <w:spacing w:after="0" w:line="240" w:lineRule="auto"/>
            </w:pPr>
            <w:r>
              <w:rPr>
                <w:sz w:val="18"/>
                <w:szCs w:val="18"/>
              </w:rPr>
              <w:t>Sổ B</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AE53A44" w14:textId="77777777" w:rsidR="00D36F8C" w:rsidRDefault="00000000">
            <w:pPr>
              <w:spacing w:after="0" w:line="240" w:lineRule="auto"/>
            </w:pPr>
            <w:r>
              <w:rPr>
                <w:sz w:val="18"/>
                <w:szCs w:val="18"/>
              </w:rPr>
              <w:t>Định lượng giảm phát thải so với kịch bản đối chứng; yêu cầu đối chứng, bảo thủ, giám sát.</w:t>
            </w:r>
          </w:p>
        </w:tc>
      </w:tr>
      <w:tr w:rsidR="00D36F8C" w14:paraId="7E11787A"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C8400C9" w14:textId="77777777" w:rsidR="00D36F8C" w:rsidRDefault="00000000">
            <w:pPr>
              <w:spacing w:after="0" w:line="240" w:lineRule="auto"/>
            </w:pPr>
            <w:hyperlink r:id="rId14" w:history="1">
              <w:r>
                <w:rPr>
                  <w:rStyle w:val="Hyperlink"/>
                  <w:sz w:val="18"/>
                  <w:szCs w:val="18"/>
                </w:rPr>
                <w:t>WBCSD Guidance on Avoided Emissions (2023)</w:t>
              </w:r>
            </w:hyperlink>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F1ED75E" w14:textId="77777777" w:rsidR="00D36F8C" w:rsidRDefault="00000000">
            <w:pPr>
              <w:spacing w:after="0" w:line="240" w:lineRule="auto"/>
            </w:pPr>
            <w:r>
              <w:rPr>
                <w:sz w:val="18"/>
                <w:szCs w:val="18"/>
              </w:rPr>
              <w:t>Sổ B</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D38FB67" w14:textId="77777777" w:rsidR="00D36F8C" w:rsidRDefault="00000000">
            <w:pPr>
              <w:spacing w:after="0" w:line="240" w:lineRule="auto"/>
            </w:pPr>
            <w:r>
              <w:rPr>
                <w:sz w:val="18"/>
                <w:szCs w:val="18"/>
              </w:rPr>
              <w:t>Phát thải tránh được báo cáo tách khỏi kiểm kê, không dùng để bù trừ Scope 1, 2, 3.</w:t>
            </w:r>
          </w:p>
        </w:tc>
      </w:tr>
      <w:tr w:rsidR="00D36F8C" w14:paraId="6F65DA72"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47ED42" w14:textId="77777777" w:rsidR="00D36F8C" w:rsidRDefault="00000000">
            <w:pPr>
              <w:spacing w:after="0" w:line="240" w:lineRule="auto"/>
            </w:pPr>
            <w:r>
              <w:rPr>
                <w:sz w:val="18"/>
                <w:szCs w:val="18"/>
              </w:rPr>
              <w:t>ISO 14040/14044:2006</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565F072" w14:textId="77777777" w:rsidR="00D36F8C" w:rsidRDefault="00000000">
            <w:pPr>
              <w:spacing w:after="0" w:line="240" w:lineRule="auto"/>
            </w:pPr>
            <w:r>
              <w:rPr>
                <w:sz w:val="18"/>
                <w:szCs w:val="18"/>
              </w:rPr>
              <w:t>Sổ B</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2C5F572" w14:textId="77777777" w:rsidR="00D36F8C" w:rsidRDefault="00000000">
            <w:pPr>
              <w:spacing w:after="0" w:line="240" w:lineRule="auto"/>
            </w:pPr>
            <w:r>
              <w:rPr>
                <w:sz w:val="18"/>
                <w:szCs w:val="18"/>
              </w:rPr>
              <w:t>Đơn vị chức năng, ranh giới, kiểm kê vòng đời, diễn giải.</w:t>
            </w:r>
          </w:p>
        </w:tc>
      </w:tr>
      <w:tr w:rsidR="00D36F8C" w14:paraId="3C493447"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17A44EC" w14:textId="77777777" w:rsidR="00D36F8C" w:rsidRDefault="00000000">
            <w:pPr>
              <w:spacing w:after="0" w:line="240" w:lineRule="auto"/>
            </w:pPr>
            <w:r>
              <w:rPr>
                <w:sz w:val="18"/>
                <w:szCs w:val="18"/>
              </w:rPr>
              <w:t xml:space="preserve">IPCC 2006 và </w:t>
            </w:r>
            <w:hyperlink r:id="rId15" w:history="1">
              <w:r>
                <w:rPr>
                  <w:rStyle w:val="Hyperlink"/>
                  <w:sz w:val="18"/>
                  <w:szCs w:val="18"/>
                </w:rPr>
                <w:t>2019 Refinement</w:t>
              </w:r>
            </w:hyperlink>
            <w:r>
              <w:rPr>
                <w:sz w:val="18"/>
                <w:szCs w:val="18"/>
              </w:rPr>
              <w:t>, Tập 5</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AB2CECD" w14:textId="77777777" w:rsidR="00D36F8C" w:rsidRDefault="00000000">
            <w:pPr>
              <w:spacing w:after="0" w:line="240" w:lineRule="auto"/>
            </w:pPr>
            <w:r>
              <w:rPr>
                <w:sz w:val="18"/>
                <w:szCs w:val="18"/>
              </w:rPr>
              <w:t>Cả hai sổ</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8B469BB" w14:textId="77777777" w:rsidR="00D36F8C" w:rsidRDefault="00000000">
            <w:pPr>
              <w:spacing w:after="0" w:line="240" w:lineRule="auto"/>
            </w:pPr>
            <w:r>
              <w:rPr>
                <w:sz w:val="18"/>
                <w:szCs w:val="18"/>
              </w:rPr>
              <w:t>Hệ số chôn lấp (Ch.3), đốt rác và đốt lộ thiên (Ch.5), thành phần rác (Ch.2).</w:t>
            </w:r>
          </w:p>
        </w:tc>
      </w:tr>
      <w:tr w:rsidR="00D36F8C" w14:paraId="323E8E7E"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F675FAF" w14:textId="77777777" w:rsidR="00D36F8C" w:rsidRDefault="00000000">
            <w:pPr>
              <w:spacing w:after="0" w:line="240" w:lineRule="auto"/>
            </w:pPr>
            <w:hyperlink r:id="rId16" w:history="1">
              <w:r>
                <w:rPr>
                  <w:rStyle w:val="Hyperlink"/>
                  <w:sz w:val="18"/>
                  <w:szCs w:val="18"/>
                </w:rPr>
                <w:t>CDM AMS-III.AJ v09</w:t>
              </w:r>
            </w:hyperlink>
            <w:r>
              <w:rPr>
                <w:sz w:val="18"/>
                <w:szCs w:val="18"/>
              </w:rPr>
              <w:t>; CDM Tool 04</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BCE98E3" w14:textId="77777777" w:rsidR="00D36F8C" w:rsidRDefault="00000000">
            <w:pPr>
              <w:spacing w:after="0" w:line="240" w:lineRule="auto"/>
            </w:pPr>
            <w:r>
              <w:rPr>
                <w:sz w:val="18"/>
                <w:szCs w:val="18"/>
              </w:rPr>
              <w:t>Tín chỉ</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FCC0DE9" w14:textId="77777777" w:rsidR="00D36F8C" w:rsidRDefault="00000000">
            <w:pPr>
              <w:spacing w:after="0" w:line="240" w:lineRule="auto"/>
            </w:pPr>
            <w:r>
              <w:rPr>
                <w:sz w:val="18"/>
                <w:szCs w:val="18"/>
              </w:rPr>
              <w:t>AMS-III.AJ nhận giấy/bìa sau tiêu dùng, cho tính methane tránh được khi đối chứng là bãi không thu khí. Không nêu bao bì nhiều lớp. Tool 04 tính methane theo FOD.</w:t>
            </w:r>
          </w:p>
        </w:tc>
      </w:tr>
      <w:tr w:rsidR="00D36F8C" w14:paraId="37F49DB2"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4ED525D" w14:textId="77777777" w:rsidR="00D36F8C" w:rsidRDefault="00000000">
            <w:pPr>
              <w:spacing w:after="0" w:line="240" w:lineRule="auto"/>
            </w:pPr>
            <w:hyperlink r:id="rId17" w:history="1">
              <w:r>
                <w:rPr>
                  <w:rStyle w:val="Hyperlink"/>
                  <w:sz w:val="18"/>
                  <w:szCs w:val="18"/>
                </w:rPr>
                <w:t>Gold Standard (2025)</w:t>
              </w:r>
            </w:hyperlink>
            <w:r>
              <w:rPr>
                <w:sz w:val="18"/>
                <w:szCs w:val="18"/>
              </w:rPr>
              <w:t>, phương pháp 448</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F7D846A" w14:textId="77777777" w:rsidR="00D36F8C" w:rsidRDefault="00000000">
            <w:pPr>
              <w:spacing w:after="0" w:line="240" w:lineRule="auto"/>
            </w:pPr>
            <w:r>
              <w:rPr>
                <w:sz w:val="18"/>
                <w:szCs w:val="18"/>
              </w:rPr>
              <w:t>Không áp dụng</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D4DAD0D" w14:textId="77777777" w:rsidR="00D36F8C" w:rsidRDefault="00000000">
            <w:pPr>
              <w:spacing w:after="0" w:line="240" w:lineRule="auto"/>
            </w:pPr>
            <w:r>
              <w:rPr>
                <w:sz w:val="18"/>
                <w:szCs w:val="18"/>
              </w:rPr>
              <w:t>Chỉ áp dụng cho kim loại, hợp kim, khoáng.</w:t>
            </w:r>
          </w:p>
        </w:tc>
      </w:tr>
      <w:tr w:rsidR="00D36F8C" w14:paraId="7FB41396"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E528490" w14:textId="77777777" w:rsidR="00D36F8C" w:rsidRDefault="00000000">
            <w:pPr>
              <w:spacing w:after="0" w:line="240" w:lineRule="auto"/>
            </w:pPr>
            <w:r>
              <w:rPr>
                <w:sz w:val="18"/>
                <w:szCs w:val="18"/>
              </w:rPr>
              <w:t xml:space="preserve">Nghị định 06/2022/NĐ-CP, sửa đổi bởi </w:t>
            </w:r>
            <w:hyperlink r:id="rId18" w:history="1">
              <w:r>
                <w:rPr>
                  <w:rStyle w:val="Hyperlink"/>
                  <w:sz w:val="18"/>
                  <w:szCs w:val="18"/>
                </w:rPr>
                <w:t>Nghị định 119/2025/NĐ-CP</w:t>
              </w:r>
            </w:hyperlink>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EB46C6A" w14:textId="77777777" w:rsidR="00D36F8C" w:rsidRDefault="00000000">
            <w:pPr>
              <w:spacing w:after="0" w:line="240" w:lineRule="auto"/>
            </w:pPr>
            <w:r>
              <w:rPr>
                <w:sz w:val="18"/>
                <w:szCs w:val="18"/>
              </w:rPr>
              <w:t>Bối cảnh</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AB0121F" w14:textId="77777777" w:rsidR="00D36F8C" w:rsidRDefault="00000000">
            <w:pPr>
              <w:spacing w:after="0" w:line="240" w:lineRule="auto"/>
            </w:pPr>
            <w:r>
              <w:rPr>
                <w:sz w:val="18"/>
                <w:szCs w:val="18"/>
              </w:rPr>
              <w:t>Kiểm kê bắt buộc cấp cơ sở, hiệu lực sửa đổi từ 1/8/2025. Tái chế vỏ hộp sau tiêu dùng nằm ngoài ranh giới cơ sở. Thị trường carbon thí điểm đến hết 2028.</w:t>
            </w:r>
          </w:p>
        </w:tc>
      </w:tr>
      <w:tr w:rsidR="00D36F8C" w14:paraId="122EFA96" w14:textId="77777777">
        <w:tblPrEx>
          <w:tblCellMar>
            <w:top w:w="0" w:type="dxa"/>
            <w:bottom w:w="0" w:type="dxa"/>
          </w:tblCellMar>
        </w:tblPrEx>
        <w:trPr>
          <w:cantSplit/>
        </w:trPr>
        <w:tc>
          <w:tcPr>
            <w:tcW w:w="2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A606A03" w14:textId="77777777" w:rsidR="00D36F8C" w:rsidRDefault="00000000">
            <w:pPr>
              <w:spacing w:after="0" w:line="240" w:lineRule="auto"/>
            </w:pPr>
            <w:r>
              <w:rPr>
                <w:sz w:val="18"/>
                <w:szCs w:val="18"/>
              </w:rPr>
              <w:t>Nghị định 08/2022/NĐ-CP, sửa đổi bởi Nghị định 05/2025/NĐ-CP (EPR)</w:t>
            </w:r>
          </w:p>
        </w:tc>
        <w:tc>
          <w:tcPr>
            <w:tcW w:w="1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FCFCCFC" w14:textId="77777777" w:rsidR="00D36F8C" w:rsidRDefault="00000000">
            <w:pPr>
              <w:spacing w:after="0" w:line="240" w:lineRule="auto"/>
            </w:pPr>
            <w:r>
              <w:rPr>
                <w:sz w:val="18"/>
                <w:szCs w:val="18"/>
              </w:rPr>
              <w:t>Bối cảnh</w:t>
            </w:r>
          </w:p>
        </w:tc>
        <w:tc>
          <w:tcPr>
            <w:tcW w:w="57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1F79580" w14:textId="77777777" w:rsidR="00D36F8C" w:rsidRDefault="00000000">
            <w:pPr>
              <w:spacing w:after="0" w:line="240" w:lineRule="auto"/>
            </w:pPr>
            <w:r>
              <w:rPr>
                <w:sz w:val="18"/>
                <w:szCs w:val="18"/>
              </w:rPr>
              <w:t>Cùng một tấn vỏ hộp có thể được dùng cho nghĩa vụ tái chế EPR và cho tuyên bố CO₂e. Cần ghi rõ để tránh đếm trùng.</w:t>
            </w:r>
          </w:p>
        </w:tc>
      </w:tr>
    </w:tbl>
    <w:p w14:paraId="2F5010FB" w14:textId="77777777" w:rsidR="00D36F8C" w:rsidRDefault="00000000">
      <w:pPr>
        <w:jc w:val="both"/>
      </w:pPr>
      <w:r>
        <w:t>Hệ quả thực tế có ba điểm. Thứ nhất, lợi ích của chương trình không làm giảm kiểm kê bắt buộc cấp cơ sở. Lợi ích hiện ra ở Scope 3 tự nguyện, báo cáo ESG, và ở tín chỉ nếu có phương pháp được chấp thuận. Thứ hai, doanh nghiệp chỉ được ghi vào Sổ A phần vỏ hộp của chính nhãn hàng mình. Thứ ba, khi nhiều bên cùng tham gia (nhãn hàng, nhà sản xuất bao bì, đơn vị điều phối, nhà tái chế), hợp đồng cần quy định mỗi tấn chỉ do một bên tuyên bố là phát thải tránh được hoặc tín chỉ.</w:t>
      </w:r>
    </w:p>
    <w:p w14:paraId="2DA8386A" w14:textId="77777777" w:rsidR="00D36F8C" w:rsidRDefault="00000000">
      <w:pPr>
        <w:pStyle w:val="Heading1"/>
      </w:pPr>
      <w:r>
        <w:t>5 Khung tính toán đề xuất</w:t>
      </w:r>
    </w:p>
    <w:p w14:paraId="2988FC12" w14:textId="77777777" w:rsidR="00D36F8C" w:rsidRDefault="00000000">
      <w:pPr>
        <w:pStyle w:val="Heading2"/>
      </w:pPr>
      <w:r>
        <w:t>5.1 Đơn vị chức năng và ranh giới</w:t>
      </w:r>
    </w:p>
    <w:p w14:paraId="073B15E9" w14:textId="77777777" w:rsidR="00D36F8C" w:rsidRDefault="00000000">
      <w:pPr>
        <w:jc w:val="both"/>
      </w:pPr>
      <w:r>
        <w:t>Đơn vị chức năng là quản lý 1 tấn vỏ hộp khô sau tiêu dùng phát sinh trong vùng phục vụ xác định, với chức năng vật liệu đầu ra được cân bằng giữa hai kịch bản. Chỉ số trên tấn thu gom ướt chỉ dùng cho quản lý vận hành, không dùng lẫn với chỉ số trên tấn khô. Ranh giới Sổ B gồm thu gom nội tỉnh, phân loại, ép kiện, vận chuyển đường dài về nhà máy, tái chế, xử lý phần dư và các quá trình sản xuất được thay thế (ISO, 2006a; 2006b). Ranh giới Sổ A là ranh giới Category 12 của doanh nghiệp bán sữa.</w:t>
      </w:r>
    </w:p>
    <w:p w14:paraId="00C4372F" w14:textId="77777777" w:rsidR="00D36F8C" w:rsidRDefault="00000000">
      <w:pPr>
        <w:pStyle w:val="Heading2"/>
      </w:pPr>
      <w:r>
        <w:t>5.2 Cân bằng vật chất và phân nhãn hàng</w:t>
      </w:r>
    </w:p>
    <w:p w14:paraId="0285A7A5" w14:textId="77777777" w:rsidR="00D36F8C" w:rsidRDefault="00000000">
      <w:pPr>
        <w:tabs>
          <w:tab w:val="center" w:pos="4968"/>
          <w:tab w:val="right" w:pos="9936"/>
        </w:tabs>
        <w:spacing w:before="60"/>
      </w:pPr>
      <w:r>
        <w:tab/>
      </w:r>
      <w:r>
        <w:rPr>
          <w:rFonts w:ascii="Cambria Math" w:eastAsia="Cambria Math" w:hAnsi="Cambria Math" w:cs="Cambria Math"/>
          <w:i/>
          <w:iCs/>
        </w:rPr>
        <w:t>M</w:t>
      </w:r>
      <w:r>
        <w:rPr>
          <w:rFonts w:ascii="Cambria Math" w:eastAsia="Cambria Math" w:hAnsi="Cambria Math" w:cs="Cambria Math"/>
          <w:i/>
          <w:iCs/>
          <w:vertAlign w:val="subscript"/>
        </w:rPr>
        <w:t>k</w:t>
      </w:r>
      <w:r>
        <w:rPr>
          <w:rFonts w:ascii="Cambria Math" w:eastAsia="Cambria Math" w:hAnsi="Cambria Math" w:cs="Cambria Math"/>
          <w:i/>
          <w:iCs/>
        </w:rPr>
        <w:t xml:space="preserve"> = W</w:t>
      </w:r>
      <w:r>
        <w:rPr>
          <w:rFonts w:ascii="Cambria Math" w:eastAsia="Cambria Math" w:hAnsi="Cambria Math" w:cs="Cambria Math"/>
          <w:i/>
          <w:iCs/>
          <w:vertAlign w:val="subscript"/>
        </w:rPr>
        <w:t>k</w:t>
      </w:r>
      <w:r>
        <w:rPr>
          <w:rFonts w:ascii="Cambria Math" w:eastAsia="Cambria Math" w:hAnsi="Cambria Math" w:cs="Cambria Math"/>
          <w:i/>
          <w:iCs/>
        </w:rPr>
        <w:t xml:space="preserve"> × (1 − c</w:t>
      </w:r>
      <w:r>
        <w:rPr>
          <w:rFonts w:ascii="Cambria Math" w:eastAsia="Cambria Math" w:hAnsi="Cambria Math" w:cs="Cambria Math"/>
          <w:i/>
          <w:iCs/>
          <w:vertAlign w:val="subscript"/>
        </w:rPr>
        <w:t>k</w:t>
      </w:r>
      <w:r>
        <w:rPr>
          <w:rFonts w:ascii="Cambria Math" w:eastAsia="Cambria Math" w:hAnsi="Cambria Math" w:cs="Cambria Math"/>
          <w:i/>
          <w:iCs/>
        </w:rPr>
        <w:t>) × (1 − w</w:t>
      </w:r>
      <w:r>
        <w:rPr>
          <w:rFonts w:ascii="Cambria Math" w:eastAsia="Cambria Math" w:hAnsi="Cambria Math" w:cs="Cambria Math"/>
          <w:i/>
          <w:iCs/>
          <w:vertAlign w:val="subscript"/>
        </w:rPr>
        <w:t>k</w:t>
      </w:r>
      <w:r>
        <w:rPr>
          <w:rFonts w:ascii="Cambria Math" w:eastAsia="Cambria Math" w:hAnsi="Cambria Math" w:cs="Cambria Math"/>
          <w:i/>
          <w:iCs/>
        </w:rPr>
        <w:t>)</w:t>
      </w:r>
      <w:r>
        <w:tab/>
        <w:t>(1)</w:t>
      </w:r>
    </w:p>
    <w:p w14:paraId="5C7D26CE" w14:textId="77777777" w:rsidR="00D36F8C" w:rsidRDefault="00000000">
      <w:pPr>
        <w:tabs>
          <w:tab w:val="center" w:pos="4968"/>
          <w:tab w:val="right" w:pos="9936"/>
        </w:tabs>
        <w:spacing w:before="60"/>
      </w:pPr>
      <w:r>
        <w:tab/>
      </w:r>
      <w:r>
        <w:rPr>
          <w:rFonts w:ascii="Cambria Math" w:eastAsia="Cambria Math" w:hAnsi="Cambria Math" w:cs="Cambria Math"/>
          <w:i/>
          <w:iCs/>
        </w:rPr>
        <w:t>M</w:t>
      </w:r>
      <w:r>
        <w:rPr>
          <w:rFonts w:ascii="Cambria Math" w:eastAsia="Cambria Math" w:hAnsi="Cambria Math" w:cs="Cambria Math"/>
          <w:i/>
          <w:iCs/>
          <w:vertAlign w:val="subscript"/>
        </w:rPr>
        <w:t>brand</w:t>
      </w:r>
      <w:r>
        <w:rPr>
          <w:rFonts w:ascii="Cambria Math" w:eastAsia="Cambria Math" w:hAnsi="Cambria Math" w:cs="Cambria Math"/>
          <w:i/>
          <w:iCs/>
        </w:rPr>
        <w:t xml:space="preserve"> = Σ</w:t>
      </w:r>
      <w:r>
        <w:rPr>
          <w:rFonts w:ascii="Cambria Math" w:eastAsia="Cambria Math" w:hAnsi="Cambria Math" w:cs="Cambria Math"/>
          <w:i/>
          <w:iCs/>
          <w:vertAlign w:val="subscript"/>
        </w:rPr>
        <w:t>k</w:t>
      </w:r>
      <w:r>
        <w:rPr>
          <w:rFonts w:ascii="Cambria Math" w:eastAsia="Cambria Math" w:hAnsi="Cambria Math" w:cs="Cambria Math"/>
          <w:i/>
          <w:iCs/>
        </w:rPr>
        <w:t xml:space="preserve"> M</w:t>
      </w:r>
      <w:r>
        <w:rPr>
          <w:rFonts w:ascii="Cambria Math" w:eastAsia="Cambria Math" w:hAnsi="Cambria Math" w:cs="Cambria Math"/>
          <w:i/>
          <w:iCs/>
          <w:vertAlign w:val="subscript"/>
        </w:rPr>
        <w:t>k</w:t>
      </w:r>
      <w:r>
        <w:rPr>
          <w:rFonts w:ascii="Cambria Math" w:eastAsia="Cambria Math" w:hAnsi="Cambria Math" w:cs="Cambria Math"/>
          <w:i/>
          <w:iCs/>
        </w:rPr>
        <w:t xml:space="preserve"> × s</w:t>
      </w:r>
      <w:r>
        <w:rPr>
          <w:rFonts w:ascii="Cambria Math" w:eastAsia="Cambria Math" w:hAnsi="Cambria Math" w:cs="Cambria Math"/>
          <w:i/>
          <w:iCs/>
          <w:vertAlign w:val="subscript"/>
        </w:rPr>
        <w:t>brand,k</w:t>
      </w:r>
      <w:r>
        <w:tab/>
        <w:t>(2)</w:t>
      </w:r>
    </w:p>
    <w:p w14:paraId="48468536" w14:textId="77777777" w:rsidR="00D36F8C" w:rsidRDefault="00000000">
      <w:pPr>
        <w:jc w:val="both"/>
      </w:pPr>
      <w:r>
        <w:t>W là khối lượng tiếp nhận ướt của lô k (tấn); c là tỷ lệ tạp chất bị loại trên W; w là độ ẩm phần còn lại. Phép đo cần định nghĩa để không trừ cùng lượng sữa dư hoặc nước hai lần. s</w:t>
      </w:r>
      <w:r>
        <w:rPr>
          <w:vertAlign w:val="subscript"/>
        </w:rPr>
        <w:t>brand</w:t>
      </w:r>
      <w:r>
        <w:t xml:space="preserve"> là tỷ lệ khối lượng vỏ hộp của nhãn hàng trong lô, đo bằng kiểm toán nhãn (đếm và cân mẫu theo thương hiệu, tối thiểu mỗi quý, phân tầng theo loại điểm thu gom). Cân bằng khô đối chiếu đầu vào với sợi, PolyAl, chất rắn trong dòng thải, tổn thất và thay đổi tồn kho.</w:t>
      </w:r>
    </w:p>
    <w:p w14:paraId="54714813" w14:textId="77777777" w:rsidR="00D36F8C" w:rsidRDefault="00000000">
      <w:pPr>
        <w:pStyle w:val="Heading2"/>
      </w:pPr>
      <w:r>
        <w:lastRenderedPageBreak/>
        <w:t>5.3 Hệ số phát thải của các tuyến cuối vòng đời</w:t>
      </w:r>
    </w:p>
    <w:p w14:paraId="18E6EA7B" w14:textId="77777777" w:rsidR="00D36F8C" w:rsidRDefault="00000000">
      <w:pPr>
        <w:jc w:val="both"/>
      </w:pPr>
      <w:r>
        <w:t>Ba tuyến đối chứng được tính theo IPCC. Chôn lấp chỉ tính methane từ sợi giấy, vì PE và nhôm không phân hủy. CO₂ từ sợi giấy là CO₂ sinh học, báo cáo riêng và không cộng vào CO₂e.</w:t>
      </w:r>
    </w:p>
    <w:p w14:paraId="6DBE2189" w14:textId="77777777" w:rsidR="00D36F8C" w:rsidRDefault="00000000">
      <w:pPr>
        <w:tabs>
          <w:tab w:val="center" w:pos="4968"/>
          <w:tab w:val="right" w:pos="9936"/>
        </w:tabs>
        <w:spacing w:before="60"/>
      </w:pPr>
      <w:r>
        <w:tab/>
      </w:r>
      <w:r>
        <w:rPr>
          <w:rFonts w:ascii="Cambria Math" w:eastAsia="Cambria Math" w:hAnsi="Cambria Math" w:cs="Cambria Math"/>
          <w:i/>
          <w:iCs/>
        </w:rPr>
        <w:t>EF</w:t>
      </w:r>
      <w:r>
        <w:rPr>
          <w:rFonts w:ascii="Cambria Math" w:eastAsia="Cambria Math" w:hAnsi="Cambria Math" w:cs="Cambria Math"/>
          <w:i/>
          <w:iCs/>
          <w:vertAlign w:val="subscript"/>
        </w:rPr>
        <w:t>LF</w:t>
      </w:r>
      <w:r>
        <w:rPr>
          <w:rFonts w:ascii="Cambria Math" w:eastAsia="Cambria Math" w:hAnsi="Cambria Math" w:cs="Cambria Math"/>
          <w:i/>
          <w:iCs/>
        </w:rPr>
        <w:t xml:space="preserve"> = f</w:t>
      </w:r>
      <w:r>
        <w:rPr>
          <w:rFonts w:ascii="Cambria Math" w:eastAsia="Cambria Math" w:hAnsi="Cambria Math" w:cs="Cambria Math"/>
          <w:i/>
          <w:iCs/>
          <w:vertAlign w:val="subscript"/>
        </w:rPr>
        <w:t>fib</w:t>
      </w:r>
      <w:r>
        <w:rPr>
          <w:rFonts w:ascii="Cambria Math" w:eastAsia="Cambria Math" w:hAnsi="Cambria Math" w:cs="Cambria Math"/>
          <w:i/>
          <w:iCs/>
        </w:rPr>
        <w:t xml:space="preserve"> × DOC × DOC</w:t>
      </w:r>
      <w:r>
        <w:rPr>
          <w:rFonts w:ascii="Cambria Math" w:eastAsia="Cambria Math" w:hAnsi="Cambria Math" w:cs="Cambria Math"/>
          <w:i/>
          <w:iCs/>
          <w:vertAlign w:val="subscript"/>
        </w:rPr>
        <w:t>f</w:t>
      </w:r>
      <w:r>
        <w:rPr>
          <w:rFonts w:ascii="Cambria Math" w:eastAsia="Cambria Math" w:hAnsi="Cambria Math" w:cs="Cambria Math"/>
          <w:i/>
          <w:iCs/>
        </w:rPr>
        <w:t xml:space="preserve"> × MCF × F × 16/12 × (1 − R) × (1 − OX) × GWP</w:t>
      </w:r>
      <w:r>
        <w:rPr>
          <w:rFonts w:ascii="Cambria Math" w:eastAsia="Cambria Math" w:hAnsi="Cambria Math" w:cs="Cambria Math"/>
          <w:i/>
          <w:iCs/>
          <w:vertAlign w:val="subscript"/>
        </w:rPr>
        <w:t>CH4</w:t>
      </w:r>
      <w:r>
        <w:tab/>
        <w:t>(3)</w:t>
      </w:r>
    </w:p>
    <w:p w14:paraId="32196F18" w14:textId="77777777" w:rsidR="00D36F8C" w:rsidRDefault="00000000">
      <w:pPr>
        <w:tabs>
          <w:tab w:val="center" w:pos="4968"/>
          <w:tab w:val="right" w:pos="9936"/>
        </w:tabs>
        <w:spacing w:before="60"/>
      </w:pPr>
      <w:r>
        <w:tab/>
      </w:r>
      <w:r>
        <w:rPr>
          <w:rFonts w:ascii="Cambria Math" w:eastAsia="Cambria Math" w:hAnsi="Cambria Math" w:cs="Cambria Math"/>
          <w:i/>
          <w:iCs/>
        </w:rPr>
        <w:t>EF</w:t>
      </w:r>
      <w:r>
        <w:rPr>
          <w:rFonts w:ascii="Cambria Math" w:eastAsia="Cambria Math" w:hAnsi="Cambria Math" w:cs="Cambria Math"/>
          <w:i/>
          <w:iCs/>
          <w:vertAlign w:val="subscript"/>
        </w:rPr>
        <w:t>OB</w:t>
      </w:r>
      <w:r>
        <w:rPr>
          <w:rFonts w:ascii="Cambria Math" w:eastAsia="Cambria Math" w:hAnsi="Cambria Math" w:cs="Cambria Math"/>
          <w:i/>
          <w:iCs/>
        </w:rPr>
        <w:t xml:space="preserve"> = f</w:t>
      </w:r>
      <w:r>
        <w:rPr>
          <w:rFonts w:ascii="Cambria Math" w:eastAsia="Cambria Math" w:hAnsi="Cambria Math" w:cs="Cambria Math"/>
          <w:i/>
          <w:iCs/>
          <w:vertAlign w:val="subscript"/>
        </w:rPr>
        <w:t>PE</w:t>
      </w:r>
      <w:r>
        <w:rPr>
          <w:rFonts w:ascii="Cambria Math" w:eastAsia="Cambria Math" w:hAnsi="Cambria Math" w:cs="Cambria Math"/>
          <w:i/>
          <w:iCs/>
        </w:rPr>
        <w:t xml:space="preserve"> × CC</w:t>
      </w:r>
      <w:r>
        <w:rPr>
          <w:rFonts w:ascii="Cambria Math" w:eastAsia="Cambria Math" w:hAnsi="Cambria Math" w:cs="Cambria Math"/>
          <w:i/>
          <w:iCs/>
          <w:vertAlign w:val="subscript"/>
        </w:rPr>
        <w:t>PE</w:t>
      </w:r>
      <w:r>
        <w:rPr>
          <w:rFonts w:ascii="Cambria Math" w:eastAsia="Cambria Math" w:hAnsi="Cambria Math" w:cs="Cambria Math"/>
          <w:i/>
          <w:iCs/>
        </w:rPr>
        <w:t xml:space="preserve"> × OF</w:t>
      </w:r>
      <w:r>
        <w:rPr>
          <w:rFonts w:ascii="Cambria Math" w:eastAsia="Cambria Math" w:hAnsi="Cambria Math" w:cs="Cambria Math"/>
          <w:i/>
          <w:iCs/>
          <w:vertAlign w:val="subscript"/>
        </w:rPr>
        <w:t>OB</w:t>
      </w:r>
      <w:r>
        <w:rPr>
          <w:rFonts w:ascii="Cambria Math" w:eastAsia="Cambria Math" w:hAnsi="Cambria Math" w:cs="Cambria Math"/>
          <w:i/>
          <w:iCs/>
        </w:rPr>
        <w:t xml:space="preserve"> × 44/12 + EF</w:t>
      </w:r>
      <w:r>
        <w:rPr>
          <w:rFonts w:ascii="Cambria Math" w:eastAsia="Cambria Math" w:hAnsi="Cambria Math" w:cs="Cambria Math"/>
          <w:i/>
          <w:iCs/>
          <w:vertAlign w:val="subscript"/>
        </w:rPr>
        <w:t>CH4,OB</w:t>
      </w:r>
      <w:r>
        <w:rPr>
          <w:rFonts w:ascii="Cambria Math" w:eastAsia="Cambria Math" w:hAnsi="Cambria Math" w:cs="Cambria Math"/>
          <w:i/>
          <w:iCs/>
        </w:rPr>
        <w:t xml:space="preserve"> × GWP</w:t>
      </w:r>
      <w:r>
        <w:rPr>
          <w:rFonts w:ascii="Cambria Math" w:eastAsia="Cambria Math" w:hAnsi="Cambria Math" w:cs="Cambria Math"/>
          <w:i/>
          <w:iCs/>
          <w:vertAlign w:val="subscript"/>
        </w:rPr>
        <w:t>CH4</w:t>
      </w:r>
      <w:r>
        <w:rPr>
          <w:rFonts w:ascii="Cambria Math" w:eastAsia="Cambria Math" w:hAnsi="Cambria Math" w:cs="Cambria Math"/>
          <w:i/>
          <w:iCs/>
        </w:rPr>
        <w:t xml:space="preserve"> + EF</w:t>
      </w:r>
      <w:r>
        <w:rPr>
          <w:rFonts w:ascii="Cambria Math" w:eastAsia="Cambria Math" w:hAnsi="Cambria Math" w:cs="Cambria Math"/>
          <w:i/>
          <w:iCs/>
          <w:vertAlign w:val="subscript"/>
        </w:rPr>
        <w:t>N2O,OB</w:t>
      </w:r>
      <w:r>
        <w:rPr>
          <w:rFonts w:ascii="Cambria Math" w:eastAsia="Cambria Math" w:hAnsi="Cambria Math" w:cs="Cambria Math"/>
          <w:i/>
          <w:iCs/>
        </w:rPr>
        <w:t xml:space="preserve"> × GWP</w:t>
      </w:r>
      <w:r>
        <w:rPr>
          <w:rFonts w:ascii="Cambria Math" w:eastAsia="Cambria Math" w:hAnsi="Cambria Math" w:cs="Cambria Math"/>
          <w:i/>
          <w:iCs/>
          <w:vertAlign w:val="subscript"/>
        </w:rPr>
        <w:t>N2O</w:t>
      </w:r>
      <w:r>
        <w:tab/>
        <w:t>(4)</w:t>
      </w:r>
    </w:p>
    <w:p w14:paraId="14C7BBF8" w14:textId="77777777" w:rsidR="00D36F8C" w:rsidRDefault="00000000">
      <w:pPr>
        <w:tabs>
          <w:tab w:val="center" w:pos="4968"/>
          <w:tab w:val="right" w:pos="9936"/>
        </w:tabs>
        <w:spacing w:before="60"/>
      </w:pPr>
      <w:r>
        <w:tab/>
      </w:r>
      <w:r>
        <w:rPr>
          <w:rFonts w:ascii="Cambria Math" w:eastAsia="Cambria Math" w:hAnsi="Cambria Math" w:cs="Cambria Math"/>
          <w:i/>
          <w:iCs/>
        </w:rPr>
        <w:t>EF</w:t>
      </w:r>
      <w:r>
        <w:rPr>
          <w:rFonts w:ascii="Cambria Math" w:eastAsia="Cambria Math" w:hAnsi="Cambria Math" w:cs="Cambria Math"/>
          <w:i/>
          <w:iCs/>
          <w:vertAlign w:val="subscript"/>
        </w:rPr>
        <w:t>INC</w:t>
      </w:r>
      <w:r>
        <w:rPr>
          <w:rFonts w:ascii="Cambria Math" w:eastAsia="Cambria Math" w:hAnsi="Cambria Math" w:cs="Cambria Math"/>
          <w:i/>
          <w:iCs/>
        </w:rPr>
        <w:t xml:space="preserve"> = f</w:t>
      </w:r>
      <w:r>
        <w:rPr>
          <w:rFonts w:ascii="Cambria Math" w:eastAsia="Cambria Math" w:hAnsi="Cambria Math" w:cs="Cambria Math"/>
          <w:i/>
          <w:iCs/>
          <w:vertAlign w:val="subscript"/>
        </w:rPr>
        <w:t>PE</w:t>
      </w:r>
      <w:r>
        <w:rPr>
          <w:rFonts w:ascii="Cambria Math" w:eastAsia="Cambria Math" w:hAnsi="Cambria Math" w:cs="Cambria Math"/>
          <w:i/>
          <w:iCs/>
        </w:rPr>
        <w:t xml:space="preserve"> × CC</w:t>
      </w:r>
      <w:r>
        <w:rPr>
          <w:rFonts w:ascii="Cambria Math" w:eastAsia="Cambria Math" w:hAnsi="Cambria Math" w:cs="Cambria Math"/>
          <w:i/>
          <w:iCs/>
          <w:vertAlign w:val="subscript"/>
        </w:rPr>
        <w:t>PE</w:t>
      </w:r>
      <w:r>
        <w:rPr>
          <w:rFonts w:ascii="Cambria Math" w:eastAsia="Cambria Math" w:hAnsi="Cambria Math" w:cs="Cambria Math"/>
          <w:i/>
          <w:iCs/>
        </w:rPr>
        <w:t xml:space="preserve"> × OF</w:t>
      </w:r>
      <w:r>
        <w:rPr>
          <w:rFonts w:ascii="Cambria Math" w:eastAsia="Cambria Math" w:hAnsi="Cambria Math" w:cs="Cambria Math"/>
          <w:i/>
          <w:iCs/>
          <w:vertAlign w:val="subscript"/>
        </w:rPr>
        <w:t>INC</w:t>
      </w:r>
      <w:r>
        <w:rPr>
          <w:rFonts w:ascii="Cambria Math" w:eastAsia="Cambria Math" w:hAnsi="Cambria Math" w:cs="Cambria Math"/>
          <w:i/>
          <w:iCs/>
        </w:rPr>
        <w:t xml:space="preserve"> × 44/12</w:t>
      </w:r>
      <w:r>
        <w:tab/>
        <w:t>(5)</w:t>
      </w:r>
    </w:p>
    <w:p w14:paraId="4D82E12D" w14:textId="77777777" w:rsidR="00D36F8C" w:rsidRDefault="00000000">
      <w:pPr>
        <w:tabs>
          <w:tab w:val="center" w:pos="4968"/>
          <w:tab w:val="right" w:pos="9936"/>
        </w:tabs>
        <w:spacing w:before="60"/>
      </w:pPr>
      <w:r>
        <w:tab/>
      </w:r>
      <w:r>
        <w:rPr>
          <w:rFonts w:ascii="Cambria Math" w:eastAsia="Cambria Math" w:hAnsi="Cambria Math" w:cs="Cambria Math"/>
          <w:i/>
          <w:iCs/>
        </w:rPr>
        <w:t>CR</w:t>
      </w:r>
      <w:r>
        <w:rPr>
          <w:rFonts w:ascii="Cambria Math" w:eastAsia="Cambria Math" w:hAnsi="Cambria Math" w:cs="Cambria Math"/>
          <w:i/>
          <w:iCs/>
          <w:vertAlign w:val="subscript"/>
        </w:rPr>
        <w:t>INC</w:t>
      </w:r>
      <w:r>
        <w:rPr>
          <w:rFonts w:ascii="Cambria Math" w:eastAsia="Cambria Math" w:hAnsi="Cambria Math" w:cs="Cambria Math"/>
          <w:i/>
          <w:iCs/>
        </w:rPr>
        <w:t xml:space="preserve"> = LHV / 3,6 × η</w:t>
      </w:r>
      <w:r>
        <w:rPr>
          <w:rFonts w:ascii="Cambria Math" w:eastAsia="Cambria Math" w:hAnsi="Cambria Math" w:cs="Cambria Math"/>
          <w:i/>
          <w:iCs/>
          <w:vertAlign w:val="subscript"/>
        </w:rPr>
        <w:t>el</w:t>
      </w:r>
      <w:r>
        <w:rPr>
          <w:rFonts w:ascii="Cambria Math" w:eastAsia="Cambria Math" w:hAnsi="Cambria Math" w:cs="Cambria Math"/>
          <w:i/>
          <w:iCs/>
        </w:rPr>
        <w:t xml:space="preserve"> × EF</w:t>
      </w:r>
      <w:r>
        <w:rPr>
          <w:rFonts w:ascii="Cambria Math" w:eastAsia="Cambria Math" w:hAnsi="Cambria Math" w:cs="Cambria Math"/>
          <w:i/>
          <w:iCs/>
          <w:vertAlign w:val="subscript"/>
        </w:rPr>
        <w:t>grid</w:t>
      </w:r>
      <w:r>
        <w:tab/>
        <w:t>(6)</w:t>
      </w:r>
    </w:p>
    <w:p w14:paraId="31054B26" w14:textId="77777777" w:rsidR="00D36F8C" w:rsidRDefault="00000000">
      <w:pPr>
        <w:jc w:val="both"/>
      </w:pPr>
      <w:r>
        <w:t>EF</w:t>
      </w:r>
      <w:r>
        <w:rPr>
          <w:vertAlign w:val="subscript"/>
        </w:rPr>
        <w:t>LF</w:t>
      </w:r>
      <w:r>
        <w:t xml:space="preserve"> là methane trong toàn bộ vòng đời của 1 tấn vỏ hộp chôn lấp. MCF phụ thuộc loại bãi: 0,4 bãi nông, 0,6 không phân loại, 0,8 bãi sâu không quản lý, 1,0 bãi yếm khí có quản lý. R là tỷ lệ thu hồi khí, OX là hệ số oxy hóa lớp phủ. CR</w:t>
      </w:r>
      <w:r>
        <w:rPr>
          <w:vertAlign w:val="subscript"/>
        </w:rPr>
        <w:t>INC</w:t>
      </w:r>
      <w:r>
        <w:t xml:space="preserve"> là điện thu hồi từ lò đốt, tính bằng nhiệt trị LHV (GJ/tấn), hiệu suất điện ròng η</w:t>
      </w:r>
      <w:r>
        <w:rPr>
          <w:vertAlign w:val="subscript"/>
        </w:rPr>
        <w:t>el</w:t>
      </w:r>
      <w:r>
        <w:t xml:space="preserve"> và hệ số lưới điện. CR</w:t>
      </w:r>
      <w:r>
        <w:rPr>
          <w:vertAlign w:val="subscript"/>
        </w:rPr>
        <w:t>INC</w:t>
      </w:r>
      <w:r>
        <w:t xml:space="preserve"> chỉ trừ trong Sổ B.</w:t>
      </w:r>
    </w:p>
    <w:p w14:paraId="3320B571" w14:textId="77777777" w:rsidR="00D36F8C" w:rsidRDefault="00000000">
      <w:pPr>
        <w:pStyle w:val="Heading2"/>
      </w:pPr>
      <w:r>
        <w:t>5.4 Sổ A: Scope 3 Category 12 của doanh nghiệp sữa</w:t>
      </w:r>
    </w:p>
    <w:p w14:paraId="08DD7237" w14:textId="77777777" w:rsidR="00D36F8C" w:rsidRDefault="00000000">
      <w:pPr>
        <w:tabs>
          <w:tab w:val="center" w:pos="4968"/>
          <w:tab w:val="right" w:pos="9936"/>
        </w:tabs>
        <w:spacing w:before="60"/>
      </w:pPr>
      <w:r>
        <w:tab/>
      </w:r>
      <w:r>
        <w:rPr>
          <w:rFonts w:ascii="Cambria Math" w:eastAsia="Cambria Math" w:hAnsi="Cambria Math" w:cs="Cambria Math"/>
          <w:i/>
          <w:iCs/>
        </w:rPr>
        <w:t>E</w:t>
      </w:r>
      <w:r>
        <w:rPr>
          <w:rFonts w:ascii="Cambria Math" w:eastAsia="Cambria Math" w:hAnsi="Cambria Math" w:cs="Cambria Math"/>
          <w:i/>
          <w:iCs/>
          <w:vertAlign w:val="subscript"/>
        </w:rPr>
        <w:t>12</w:t>
      </w:r>
      <w:r>
        <w:rPr>
          <w:rFonts w:ascii="Cambria Math" w:eastAsia="Cambria Math" w:hAnsi="Cambria Math" w:cs="Cambria Math"/>
          <w:i/>
          <w:iCs/>
        </w:rPr>
        <w:t xml:space="preserve"> = Σ</w:t>
      </w:r>
      <w:r>
        <w:rPr>
          <w:rFonts w:ascii="Cambria Math" w:eastAsia="Cambria Math" w:hAnsi="Cambria Math" w:cs="Cambria Math"/>
          <w:i/>
          <w:iCs/>
          <w:vertAlign w:val="subscript"/>
        </w:rPr>
        <w:t>i</w:t>
      </w:r>
      <w:r>
        <w:rPr>
          <w:rFonts w:ascii="Cambria Math" w:eastAsia="Cambria Math" w:hAnsi="Cambria Math" w:cs="Cambria Math"/>
          <w:i/>
          <w:iCs/>
        </w:rPr>
        <w:t xml:space="preserve"> Σ</w:t>
      </w:r>
      <w:r>
        <w:rPr>
          <w:rFonts w:ascii="Cambria Math" w:eastAsia="Cambria Math" w:hAnsi="Cambria Math" w:cs="Cambria Math"/>
          <w:i/>
          <w:iCs/>
          <w:vertAlign w:val="subscript"/>
        </w:rPr>
        <w:t>j</w:t>
      </w:r>
      <w:r>
        <w:rPr>
          <w:rFonts w:ascii="Cambria Math" w:eastAsia="Cambria Math" w:hAnsi="Cambria Math" w:cs="Cambria Math"/>
          <w:i/>
          <w:iCs/>
        </w:rPr>
        <w:t xml:space="preserve"> M</w:t>
      </w:r>
      <w:r>
        <w:rPr>
          <w:rFonts w:ascii="Cambria Math" w:eastAsia="Cambria Math" w:hAnsi="Cambria Math" w:cs="Cambria Math"/>
          <w:i/>
          <w:iCs/>
          <w:vertAlign w:val="subscript"/>
        </w:rPr>
        <w:t>sold,i</w:t>
      </w:r>
      <w:r>
        <w:rPr>
          <w:rFonts w:ascii="Cambria Math" w:eastAsia="Cambria Math" w:hAnsi="Cambria Math" w:cs="Cambria Math"/>
          <w:i/>
          <w:iCs/>
        </w:rPr>
        <w:t xml:space="preserve"> × p</w:t>
      </w:r>
      <w:r>
        <w:rPr>
          <w:rFonts w:ascii="Cambria Math" w:eastAsia="Cambria Math" w:hAnsi="Cambria Math" w:cs="Cambria Math"/>
          <w:i/>
          <w:iCs/>
          <w:vertAlign w:val="subscript"/>
        </w:rPr>
        <w:t>ij</w:t>
      </w:r>
      <w:r>
        <w:rPr>
          <w:rFonts w:ascii="Cambria Math" w:eastAsia="Cambria Math" w:hAnsi="Cambria Math" w:cs="Cambria Math"/>
          <w:i/>
          <w:iCs/>
        </w:rPr>
        <w:t xml:space="preserve"> × EF</w:t>
      </w:r>
      <w:r>
        <w:rPr>
          <w:rFonts w:ascii="Cambria Math" w:eastAsia="Cambria Math" w:hAnsi="Cambria Math" w:cs="Cambria Math"/>
          <w:i/>
          <w:iCs/>
          <w:vertAlign w:val="subscript"/>
        </w:rPr>
        <w:t>j,inv</w:t>
      </w:r>
      <w:r>
        <w:tab/>
        <w:t>(7)</w:t>
      </w:r>
    </w:p>
    <w:p w14:paraId="32736A5E" w14:textId="77777777" w:rsidR="00D36F8C" w:rsidRDefault="00000000">
      <w:pPr>
        <w:tabs>
          <w:tab w:val="center" w:pos="4968"/>
          <w:tab w:val="right" w:pos="9936"/>
        </w:tabs>
        <w:spacing w:before="60"/>
      </w:pPr>
      <w:r>
        <w:tab/>
      </w:r>
      <w:r>
        <w:rPr>
          <w:rFonts w:ascii="Cambria Math" w:eastAsia="Cambria Math" w:hAnsi="Cambria Math" w:cs="Cambria Math"/>
          <w:i/>
          <w:iCs/>
        </w:rPr>
        <w:t>EF</w:t>
      </w:r>
      <w:r>
        <w:rPr>
          <w:rFonts w:ascii="Cambria Math" w:eastAsia="Cambria Math" w:hAnsi="Cambria Math" w:cs="Cambria Math"/>
          <w:i/>
          <w:iCs/>
          <w:vertAlign w:val="subscript"/>
        </w:rPr>
        <w:t>disp</w:t>
      </w:r>
      <w:r>
        <w:rPr>
          <w:rFonts w:ascii="Cambria Math" w:eastAsia="Cambria Math" w:hAnsi="Cambria Math" w:cs="Cambria Math"/>
          <w:i/>
          <w:iCs/>
        </w:rPr>
        <w:t xml:space="preserve"> = [b</w:t>
      </w:r>
      <w:r>
        <w:rPr>
          <w:rFonts w:ascii="Cambria Math" w:eastAsia="Cambria Math" w:hAnsi="Cambria Math" w:cs="Cambria Math"/>
          <w:i/>
          <w:iCs/>
          <w:vertAlign w:val="subscript"/>
        </w:rPr>
        <w:t>LF</w:t>
      </w:r>
      <w:r>
        <w:rPr>
          <w:rFonts w:ascii="Cambria Math" w:eastAsia="Cambria Math" w:hAnsi="Cambria Math" w:cs="Cambria Math"/>
          <w:i/>
          <w:iCs/>
        </w:rPr>
        <w:t xml:space="preserve"> × EF</w:t>
      </w:r>
      <w:r>
        <w:rPr>
          <w:rFonts w:ascii="Cambria Math" w:eastAsia="Cambria Math" w:hAnsi="Cambria Math" w:cs="Cambria Math"/>
          <w:i/>
          <w:iCs/>
          <w:vertAlign w:val="subscript"/>
        </w:rPr>
        <w:t>LF</w:t>
      </w:r>
      <w:r>
        <w:rPr>
          <w:rFonts w:ascii="Cambria Math" w:eastAsia="Cambria Math" w:hAnsi="Cambria Math" w:cs="Cambria Math"/>
          <w:i/>
          <w:iCs/>
        </w:rPr>
        <w:t xml:space="preserve"> + b</w:t>
      </w:r>
      <w:r>
        <w:rPr>
          <w:rFonts w:ascii="Cambria Math" w:eastAsia="Cambria Math" w:hAnsi="Cambria Math" w:cs="Cambria Math"/>
          <w:i/>
          <w:iCs/>
          <w:vertAlign w:val="subscript"/>
        </w:rPr>
        <w:t>OB</w:t>
      </w:r>
      <w:r>
        <w:rPr>
          <w:rFonts w:ascii="Cambria Math" w:eastAsia="Cambria Math" w:hAnsi="Cambria Math" w:cs="Cambria Math"/>
          <w:i/>
          <w:iCs/>
        </w:rPr>
        <w:t xml:space="preserve"> × EF</w:t>
      </w:r>
      <w:r>
        <w:rPr>
          <w:rFonts w:ascii="Cambria Math" w:eastAsia="Cambria Math" w:hAnsi="Cambria Math" w:cs="Cambria Math"/>
          <w:i/>
          <w:iCs/>
          <w:vertAlign w:val="subscript"/>
        </w:rPr>
        <w:t>OB</w:t>
      </w:r>
      <w:r>
        <w:rPr>
          <w:rFonts w:ascii="Cambria Math" w:eastAsia="Cambria Math" w:hAnsi="Cambria Math" w:cs="Cambria Math"/>
          <w:i/>
          <w:iCs/>
        </w:rPr>
        <w:t xml:space="preserve"> + b</w:t>
      </w:r>
      <w:r>
        <w:rPr>
          <w:rFonts w:ascii="Cambria Math" w:eastAsia="Cambria Math" w:hAnsi="Cambria Math" w:cs="Cambria Math"/>
          <w:i/>
          <w:iCs/>
          <w:vertAlign w:val="subscript"/>
        </w:rPr>
        <w:t>INC</w:t>
      </w:r>
      <w:r>
        <w:rPr>
          <w:rFonts w:ascii="Cambria Math" w:eastAsia="Cambria Math" w:hAnsi="Cambria Math" w:cs="Cambria Math"/>
          <w:i/>
          <w:iCs/>
        </w:rPr>
        <w:t xml:space="preserve"> × EF</w:t>
      </w:r>
      <w:r>
        <w:rPr>
          <w:rFonts w:ascii="Cambria Math" w:eastAsia="Cambria Math" w:hAnsi="Cambria Math" w:cs="Cambria Math"/>
          <w:i/>
          <w:iCs/>
          <w:vertAlign w:val="subscript"/>
        </w:rPr>
        <w:t>INC</w:t>
      </w:r>
      <w:r>
        <w:rPr>
          <w:rFonts w:ascii="Cambria Math" w:eastAsia="Cambria Math" w:hAnsi="Cambria Math" w:cs="Cambria Math"/>
          <w:i/>
          <w:iCs/>
        </w:rPr>
        <w:t>] / (1 − b</w:t>
      </w:r>
      <w:r>
        <w:rPr>
          <w:rFonts w:ascii="Cambria Math" w:eastAsia="Cambria Math" w:hAnsi="Cambria Math" w:cs="Cambria Math"/>
          <w:i/>
          <w:iCs/>
          <w:vertAlign w:val="subscript"/>
        </w:rPr>
        <w:t>REC</w:t>
      </w:r>
      <w:r>
        <w:rPr>
          <w:rFonts w:ascii="Cambria Math" w:eastAsia="Cambria Math" w:hAnsi="Cambria Math" w:cs="Cambria Math"/>
          <w:i/>
          <w:iCs/>
        </w:rPr>
        <w:t>)</w:t>
      </w:r>
      <w:r>
        <w:tab/>
        <w:t>(8)</w:t>
      </w:r>
    </w:p>
    <w:p w14:paraId="10C46F71" w14:textId="77777777" w:rsidR="00D36F8C" w:rsidRDefault="00000000">
      <w:pPr>
        <w:tabs>
          <w:tab w:val="center" w:pos="4968"/>
          <w:tab w:val="right" w:pos="9936"/>
        </w:tabs>
        <w:spacing w:before="60"/>
      </w:pPr>
      <w:r>
        <w:tab/>
      </w:r>
      <w:r>
        <w:rPr>
          <w:rFonts w:ascii="Cambria Math" w:eastAsia="Cambria Math" w:hAnsi="Cambria Math" w:cs="Cambria Math"/>
          <w:i/>
          <w:iCs/>
        </w:rPr>
        <w:t>ΔE</w:t>
      </w:r>
      <w:r>
        <w:rPr>
          <w:rFonts w:ascii="Cambria Math" w:eastAsia="Cambria Math" w:hAnsi="Cambria Math" w:cs="Cambria Math"/>
          <w:i/>
          <w:iCs/>
          <w:vertAlign w:val="subscript"/>
        </w:rPr>
        <w:t>12</w:t>
      </w:r>
      <w:r>
        <w:rPr>
          <w:rFonts w:ascii="Cambria Math" w:eastAsia="Cambria Math" w:hAnsi="Cambria Math" w:cs="Cambria Math"/>
          <w:i/>
          <w:iCs/>
        </w:rPr>
        <w:t xml:space="preserve"> = M</w:t>
      </w:r>
      <w:r>
        <w:rPr>
          <w:rFonts w:ascii="Cambria Math" w:eastAsia="Cambria Math" w:hAnsi="Cambria Math" w:cs="Cambria Math"/>
          <w:i/>
          <w:iCs/>
          <w:vertAlign w:val="subscript"/>
        </w:rPr>
        <w:t>brand</w:t>
      </w:r>
      <w:r>
        <w:rPr>
          <w:rFonts w:ascii="Cambria Math" w:eastAsia="Cambria Math" w:hAnsi="Cambria Math" w:cs="Cambria Math"/>
          <w:i/>
          <w:iCs/>
        </w:rPr>
        <w:t xml:space="preserve"> × (1 − b</w:t>
      </w:r>
      <w:r>
        <w:rPr>
          <w:rFonts w:ascii="Cambria Math" w:eastAsia="Cambria Math" w:hAnsi="Cambria Math" w:cs="Cambria Math"/>
          <w:i/>
          <w:iCs/>
          <w:vertAlign w:val="subscript"/>
        </w:rPr>
        <w:t>REC</w:t>
      </w:r>
      <w:r>
        <w:rPr>
          <w:rFonts w:ascii="Cambria Math" w:eastAsia="Cambria Math" w:hAnsi="Cambria Math" w:cs="Cambria Math"/>
          <w:i/>
          <w:iCs/>
        </w:rPr>
        <w:t>) × (EF</w:t>
      </w:r>
      <w:r>
        <w:rPr>
          <w:rFonts w:ascii="Cambria Math" w:eastAsia="Cambria Math" w:hAnsi="Cambria Math" w:cs="Cambria Math"/>
          <w:i/>
          <w:iCs/>
          <w:vertAlign w:val="subscript"/>
        </w:rPr>
        <w:t>disp</w:t>
      </w:r>
      <w:r>
        <w:rPr>
          <w:rFonts w:ascii="Cambria Math" w:eastAsia="Cambria Math" w:hAnsi="Cambria Math" w:cs="Cambria Math"/>
          <w:i/>
          <w:iCs/>
        </w:rPr>
        <w:t xml:space="preserve"> − EF</w:t>
      </w:r>
      <w:r>
        <w:rPr>
          <w:rFonts w:ascii="Cambria Math" w:eastAsia="Cambria Math" w:hAnsi="Cambria Math" w:cs="Cambria Math"/>
          <w:i/>
          <w:iCs/>
          <w:vertAlign w:val="subscript"/>
        </w:rPr>
        <w:t>rec,inv</w:t>
      </w:r>
      <w:r>
        <w:rPr>
          <w:rFonts w:ascii="Cambria Math" w:eastAsia="Cambria Math" w:hAnsi="Cambria Math" w:cs="Cambria Math"/>
          <w:i/>
          <w:iCs/>
        </w:rPr>
        <w:t>)</w:t>
      </w:r>
      <w:r>
        <w:tab/>
        <w:t>(9)</w:t>
      </w:r>
    </w:p>
    <w:p w14:paraId="5AF40CFA" w14:textId="77777777" w:rsidR="00D36F8C" w:rsidRDefault="00000000">
      <w:pPr>
        <w:jc w:val="both"/>
      </w:pPr>
      <w:r>
        <w:t>M</w:t>
      </w:r>
      <w:r>
        <w:rPr>
          <w:vertAlign w:val="subscript"/>
        </w:rPr>
        <w:t>sold</w:t>
      </w:r>
      <w:r>
        <w:t xml:space="preserve"> là khối lượng bao bì bán ra; p</w:t>
      </w:r>
      <w:r>
        <w:rPr>
          <w:vertAlign w:val="subscript"/>
        </w:rPr>
        <w:t>j</w:t>
      </w:r>
      <w:r>
        <w:t xml:space="preserve"> là tỷ lệ tuyến xử lý j; b</w:t>
      </w:r>
      <w:r>
        <w:rPr>
          <w:vertAlign w:val="subscript"/>
        </w:rPr>
        <w:t>j</w:t>
      </w:r>
      <w:r>
        <w:t xml:space="preserve"> là tỷ lệ tuyến trong đối chứng, với b</w:t>
      </w:r>
      <w:r>
        <w:rPr>
          <w:vertAlign w:val="subscript"/>
        </w:rPr>
        <w:t>REC</w:t>
      </w:r>
      <w:r>
        <w:t xml:space="preserve"> là phần vốn đã vào ve chai. EF</w:t>
      </w:r>
      <w:r>
        <w:rPr>
          <w:vertAlign w:val="subscript"/>
        </w:rPr>
        <w:t>rec,inv</w:t>
      </w:r>
      <w:r>
        <w:t xml:space="preserve"> theo cách cut-off chỉ gồm nhiên liệu vận chuyển tới cơ sở tái chế (tùy chọn). Tín dụng sợi, PolyAl và điện lò đốt không vào Sổ A. Methane chôn lấp ghi toàn bộ vòng đời vào năm bán, đúng quy ước Category 12. Doanh nghiệp phải dùng cùng bộ EF</w:t>
      </w:r>
      <w:r>
        <w:rPr>
          <w:vertAlign w:val="subscript"/>
        </w:rPr>
        <w:t>j</w:t>
      </w:r>
      <w:r>
        <w:t xml:space="preserve"> cho năm cơ sở và năm báo cáo. Khi dữ liệu chương trình được dùng để cập nhật p</w:t>
      </w:r>
      <w:r>
        <w:rPr>
          <w:vertAlign w:val="subscript"/>
        </w:rPr>
        <w:t>j</w:t>
      </w:r>
      <w:r>
        <w:t>, cần nêu kỳ dữ liệu và cách ngoại suy từ vùng thu gom ra toàn bộ thị trường.</w:t>
      </w:r>
    </w:p>
    <w:p w14:paraId="5FA2C53C" w14:textId="77777777" w:rsidR="00D36F8C" w:rsidRDefault="00000000">
      <w:pPr>
        <w:pStyle w:val="Heading2"/>
      </w:pPr>
      <w:r>
        <w:t>5.5 Sổ B: phát thải tránh được của chương trình</w:t>
      </w:r>
    </w:p>
    <w:p w14:paraId="027576A7" w14:textId="77777777" w:rsidR="00D36F8C" w:rsidRDefault="00000000">
      <w:pPr>
        <w:tabs>
          <w:tab w:val="center" w:pos="4968"/>
          <w:tab w:val="right" w:pos="9936"/>
        </w:tabs>
        <w:spacing w:before="60"/>
      </w:pPr>
      <w:r>
        <w:tab/>
      </w:r>
      <w:r>
        <w:rPr>
          <w:rFonts w:ascii="Cambria Math" w:eastAsia="Cambria Math" w:hAnsi="Cambria Math" w:cs="Cambria Math"/>
          <w:i/>
          <w:iCs/>
        </w:rPr>
        <w:t>G</w:t>
      </w:r>
      <w:r>
        <w:rPr>
          <w:rFonts w:ascii="Cambria Math" w:eastAsia="Cambria Math" w:hAnsi="Cambria Math" w:cs="Cambria Math"/>
          <w:i/>
          <w:iCs/>
          <w:vertAlign w:val="subscript"/>
        </w:rPr>
        <w:t>B</w:t>
      </w:r>
      <w:r>
        <w:rPr>
          <w:rFonts w:ascii="Cambria Math" w:eastAsia="Cambria Math" w:hAnsi="Cambria Math" w:cs="Cambria Math"/>
          <w:i/>
          <w:iCs/>
        </w:rPr>
        <w:t xml:space="preserve"> = [b</w:t>
      </w:r>
      <w:r>
        <w:rPr>
          <w:rFonts w:ascii="Cambria Math" w:eastAsia="Cambria Math" w:hAnsi="Cambria Math" w:cs="Cambria Math"/>
          <w:i/>
          <w:iCs/>
          <w:vertAlign w:val="subscript"/>
        </w:rPr>
        <w:t>LF</w:t>
      </w:r>
      <w:r>
        <w:rPr>
          <w:rFonts w:ascii="Cambria Math" w:eastAsia="Cambria Math" w:hAnsi="Cambria Math" w:cs="Cambria Math"/>
          <w:i/>
          <w:iCs/>
        </w:rPr>
        <w:t xml:space="preserve"> × EF</w:t>
      </w:r>
      <w:r>
        <w:rPr>
          <w:rFonts w:ascii="Cambria Math" w:eastAsia="Cambria Math" w:hAnsi="Cambria Math" w:cs="Cambria Math"/>
          <w:i/>
          <w:iCs/>
          <w:vertAlign w:val="subscript"/>
        </w:rPr>
        <w:t>LF</w:t>
      </w:r>
      <w:r>
        <w:rPr>
          <w:rFonts w:ascii="Cambria Math" w:eastAsia="Cambria Math" w:hAnsi="Cambria Math" w:cs="Cambria Math"/>
          <w:i/>
          <w:iCs/>
        </w:rPr>
        <w:t xml:space="preserve"> + b</w:t>
      </w:r>
      <w:r>
        <w:rPr>
          <w:rFonts w:ascii="Cambria Math" w:eastAsia="Cambria Math" w:hAnsi="Cambria Math" w:cs="Cambria Math"/>
          <w:i/>
          <w:iCs/>
          <w:vertAlign w:val="subscript"/>
        </w:rPr>
        <w:t>OB</w:t>
      </w:r>
      <w:r>
        <w:rPr>
          <w:rFonts w:ascii="Cambria Math" w:eastAsia="Cambria Math" w:hAnsi="Cambria Math" w:cs="Cambria Math"/>
          <w:i/>
          <w:iCs/>
        </w:rPr>
        <w:t xml:space="preserve"> × EF</w:t>
      </w:r>
      <w:r>
        <w:rPr>
          <w:rFonts w:ascii="Cambria Math" w:eastAsia="Cambria Math" w:hAnsi="Cambria Math" w:cs="Cambria Math"/>
          <w:i/>
          <w:iCs/>
          <w:vertAlign w:val="subscript"/>
        </w:rPr>
        <w:t>OB</w:t>
      </w:r>
      <w:r>
        <w:rPr>
          <w:rFonts w:ascii="Cambria Math" w:eastAsia="Cambria Math" w:hAnsi="Cambria Math" w:cs="Cambria Math"/>
          <w:i/>
          <w:iCs/>
        </w:rPr>
        <w:t xml:space="preserve"> + b</w:t>
      </w:r>
      <w:r>
        <w:rPr>
          <w:rFonts w:ascii="Cambria Math" w:eastAsia="Cambria Math" w:hAnsi="Cambria Math" w:cs="Cambria Math"/>
          <w:i/>
          <w:iCs/>
          <w:vertAlign w:val="subscript"/>
        </w:rPr>
        <w:t>INC</w:t>
      </w:r>
      <w:r>
        <w:rPr>
          <w:rFonts w:ascii="Cambria Math" w:eastAsia="Cambria Math" w:hAnsi="Cambria Math" w:cs="Cambria Math"/>
          <w:i/>
          <w:iCs/>
        </w:rPr>
        <w:t xml:space="preserve"> × (EF</w:t>
      </w:r>
      <w:r>
        <w:rPr>
          <w:rFonts w:ascii="Cambria Math" w:eastAsia="Cambria Math" w:hAnsi="Cambria Math" w:cs="Cambria Math"/>
          <w:i/>
          <w:iCs/>
          <w:vertAlign w:val="subscript"/>
        </w:rPr>
        <w:t>INC</w:t>
      </w:r>
      <w:r>
        <w:rPr>
          <w:rFonts w:ascii="Cambria Math" w:eastAsia="Cambria Math" w:hAnsi="Cambria Math" w:cs="Cambria Math"/>
          <w:i/>
          <w:iCs/>
        </w:rPr>
        <w:t xml:space="preserve"> − CR</w:t>
      </w:r>
      <w:r>
        <w:rPr>
          <w:rFonts w:ascii="Cambria Math" w:eastAsia="Cambria Math" w:hAnsi="Cambria Math" w:cs="Cambria Math"/>
          <w:i/>
          <w:iCs/>
          <w:vertAlign w:val="subscript"/>
        </w:rPr>
        <w:t>INC</w:t>
      </w:r>
      <w:r>
        <w:rPr>
          <w:rFonts w:ascii="Cambria Math" w:eastAsia="Cambria Math" w:hAnsi="Cambria Math" w:cs="Cambria Math"/>
          <w:i/>
          <w:iCs/>
        </w:rPr>
        <w:t>)] / (1 − b</w:t>
      </w:r>
      <w:r>
        <w:rPr>
          <w:rFonts w:ascii="Cambria Math" w:eastAsia="Cambria Math" w:hAnsi="Cambria Math" w:cs="Cambria Math"/>
          <w:i/>
          <w:iCs/>
          <w:vertAlign w:val="subscript"/>
        </w:rPr>
        <w:t>REC</w:t>
      </w:r>
      <w:r>
        <w:rPr>
          <w:rFonts w:ascii="Cambria Math" w:eastAsia="Cambria Math" w:hAnsi="Cambria Math" w:cs="Cambria Math"/>
          <w:i/>
          <w:iCs/>
        </w:rPr>
        <w:t>)</w:t>
      </w:r>
      <w:r>
        <w:tab/>
        <w:t>(10)</w:t>
      </w:r>
    </w:p>
    <w:p w14:paraId="6F558EB3" w14:textId="77777777" w:rsidR="00D36F8C" w:rsidRDefault="00000000">
      <w:pPr>
        <w:tabs>
          <w:tab w:val="center" w:pos="4968"/>
          <w:tab w:val="right" w:pos="9936"/>
        </w:tabs>
        <w:spacing w:before="60"/>
      </w:pPr>
      <w:r>
        <w:tab/>
      </w:r>
      <w:r>
        <w:rPr>
          <w:rFonts w:ascii="Cambria Math" w:eastAsia="Cambria Math" w:hAnsi="Cambria Math" w:cs="Cambria Math"/>
          <w:i/>
          <w:iCs/>
        </w:rPr>
        <w:t>O</w:t>
      </w:r>
      <w:r>
        <w:rPr>
          <w:rFonts w:ascii="Cambria Math" w:eastAsia="Cambria Math" w:hAnsi="Cambria Math" w:cs="Cambria Math"/>
          <w:i/>
          <w:iCs/>
          <w:vertAlign w:val="subscript"/>
        </w:rPr>
        <w:t>P</w:t>
      </w:r>
      <w:r>
        <w:rPr>
          <w:rFonts w:ascii="Cambria Math" w:eastAsia="Cambria Math" w:hAnsi="Cambria Math" w:cs="Cambria Math"/>
          <w:i/>
          <w:iCs/>
        </w:rPr>
        <w:t xml:space="preserve"> = O</w:t>
      </w:r>
      <w:r>
        <w:rPr>
          <w:rFonts w:ascii="Cambria Math" w:eastAsia="Cambria Math" w:hAnsi="Cambria Math" w:cs="Cambria Math"/>
          <w:i/>
          <w:iCs/>
          <w:vertAlign w:val="subscript"/>
        </w:rPr>
        <w:t>col</w:t>
      </w:r>
      <w:r>
        <w:rPr>
          <w:rFonts w:ascii="Cambria Math" w:eastAsia="Cambria Math" w:hAnsi="Cambria Math" w:cs="Cambria Math"/>
          <w:i/>
          <w:iCs/>
        </w:rPr>
        <w:t xml:space="preserve"> + O</w:t>
      </w:r>
      <w:r>
        <w:rPr>
          <w:rFonts w:ascii="Cambria Math" w:eastAsia="Cambria Math" w:hAnsi="Cambria Math" w:cs="Cambria Math"/>
          <w:i/>
          <w:iCs/>
          <w:vertAlign w:val="subscript"/>
        </w:rPr>
        <w:t>sort</w:t>
      </w:r>
      <w:r>
        <w:rPr>
          <w:rFonts w:ascii="Cambria Math" w:eastAsia="Cambria Math" w:hAnsi="Cambria Math" w:cs="Cambria Math"/>
          <w:i/>
          <w:iCs/>
        </w:rPr>
        <w:t xml:space="preserve"> + O</w:t>
      </w:r>
      <w:r>
        <w:rPr>
          <w:rFonts w:ascii="Cambria Math" w:eastAsia="Cambria Math" w:hAnsi="Cambria Math" w:cs="Cambria Math"/>
          <w:i/>
          <w:iCs/>
          <w:vertAlign w:val="subscript"/>
        </w:rPr>
        <w:t>haul</w:t>
      </w:r>
      <w:r>
        <w:rPr>
          <w:rFonts w:ascii="Cambria Math" w:eastAsia="Cambria Math" w:hAnsi="Cambria Math" w:cs="Cambria Math"/>
          <w:i/>
          <w:iCs/>
        </w:rPr>
        <w:t xml:space="preserve"> + O</w:t>
      </w:r>
      <w:r>
        <w:rPr>
          <w:rFonts w:ascii="Cambria Math" w:eastAsia="Cambria Math" w:hAnsi="Cambria Math" w:cs="Cambria Math"/>
          <w:i/>
          <w:iCs/>
          <w:vertAlign w:val="subscript"/>
        </w:rPr>
        <w:t>rec</w:t>
      </w:r>
      <w:r>
        <w:rPr>
          <w:rFonts w:ascii="Cambria Math" w:eastAsia="Cambria Math" w:hAnsi="Cambria Math" w:cs="Cambria Math"/>
          <w:i/>
          <w:iCs/>
        </w:rPr>
        <w:t xml:space="preserve"> + λ × EF</w:t>
      </w:r>
      <w:r>
        <w:rPr>
          <w:rFonts w:ascii="Cambria Math" w:eastAsia="Cambria Math" w:hAnsi="Cambria Math" w:cs="Cambria Math"/>
          <w:i/>
          <w:iCs/>
          <w:vertAlign w:val="subscript"/>
        </w:rPr>
        <w:t>LF,HCM</w:t>
      </w:r>
      <w:r>
        <w:tab/>
        <w:t>(11a)</w:t>
      </w:r>
    </w:p>
    <w:p w14:paraId="40506569" w14:textId="77777777" w:rsidR="00D36F8C" w:rsidRDefault="00000000">
      <w:pPr>
        <w:tabs>
          <w:tab w:val="center" w:pos="4968"/>
          <w:tab w:val="right" w:pos="9936"/>
        </w:tabs>
        <w:spacing w:before="60"/>
      </w:pPr>
      <w:r>
        <w:tab/>
      </w:r>
      <w:r>
        <w:rPr>
          <w:rFonts w:ascii="Cambria Math" w:eastAsia="Cambria Math" w:hAnsi="Cambria Math" w:cs="Cambria Math"/>
          <w:i/>
          <w:iCs/>
        </w:rPr>
        <w:t>C</w:t>
      </w:r>
      <w:r>
        <w:rPr>
          <w:rFonts w:ascii="Cambria Math" w:eastAsia="Cambria Math" w:hAnsi="Cambria Math" w:cs="Cambria Math"/>
          <w:i/>
          <w:iCs/>
          <w:vertAlign w:val="subscript"/>
        </w:rPr>
        <w:t>P</w:t>
      </w:r>
      <w:r>
        <w:rPr>
          <w:rFonts w:ascii="Cambria Math" w:eastAsia="Cambria Math" w:hAnsi="Cambria Math" w:cs="Cambria Math"/>
          <w:i/>
          <w:iCs/>
        </w:rPr>
        <w:t xml:space="preserve"> = f</w:t>
      </w:r>
      <w:r>
        <w:rPr>
          <w:rFonts w:ascii="Cambria Math" w:eastAsia="Cambria Math" w:hAnsi="Cambria Math" w:cs="Cambria Math"/>
          <w:i/>
          <w:iCs/>
          <w:vertAlign w:val="subscript"/>
        </w:rPr>
        <w:t>fib</w:t>
      </w:r>
      <w:r>
        <w:rPr>
          <w:rFonts w:ascii="Cambria Math" w:eastAsia="Cambria Math" w:hAnsi="Cambria Math" w:cs="Cambria Math"/>
          <w:i/>
          <w:iCs/>
        </w:rPr>
        <w:t>(1 − λ) r</w:t>
      </w:r>
      <w:r>
        <w:rPr>
          <w:rFonts w:ascii="Cambria Math" w:eastAsia="Cambria Math" w:hAnsi="Cambria Math" w:cs="Cambria Math"/>
          <w:i/>
          <w:iCs/>
          <w:vertAlign w:val="subscript"/>
        </w:rPr>
        <w:t>fib</w:t>
      </w:r>
      <w:r>
        <w:rPr>
          <w:rFonts w:ascii="Cambria Math" w:eastAsia="Cambria Math" w:hAnsi="Cambria Math" w:cs="Cambria Math"/>
          <w:i/>
          <w:iCs/>
        </w:rPr>
        <w:t xml:space="preserve"> EF</w:t>
      </w:r>
      <w:r>
        <w:rPr>
          <w:rFonts w:ascii="Cambria Math" w:eastAsia="Cambria Math" w:hAnsi="Cambria Math" w:cs="Cambria Math"/>
          <w:i/>
          <w:iCs/>
          <w:vertAlign w:val="subscript"/>
        </w:rPr>
        <w:t>disp,fib</w:t>
      </w:r>
      <w:r>
        <w:rPr>
          <w:rFonts w:ascii="Cambria Math" w:eastAsia="Cambria Math" w:hAnsi="Cambria Math" w:cs="Cambria Math"/>
          <w:i/>
          <w:iCs/>
        </w:rPr>
        <w:t xml:space="preserve"> + (f</w:t>
      </w:r>
      <w:r>
        <w:rPr>
          <w:rFonts w:ascii="Cambria Math" w:eastAsia="Cambria Math" w:hAnsi="Cambria Math" w:cs="Cambria Math"/>
          <w:i/>
          <w:iCs/>
          <w:vertAlign w:val="subscript"/>
        </w:rPr>
        <w:t>PE</w:t>
      </w:r>
      <w:r>
        <w:rPr>
          <w:rFonts w:ascii="Cambria Math" w:eastAsia="Cambria Math" w:hAnsi="Cambria Math" w:cs="Cambria Math"/>
          <w:i/>
          <w:iCs/>
        </w:rPr>
        <w:t xml:space="preserve"> + f</w:t>
      </w:r>
      <w:r>
        <w:rPr>
          <w:rFonts w:ascii="Cambria Math" w:eastAsia="Cambria Math" w:hAnsi="Cambria Math" w:cs="Cambria Math"/>
          <w:i/>
          <w:iCs/>
          <w:vertAlign w:val="subscript"/>
        </w:rPr>
        <w:t>Al</w:t>
      </w:r>
      <w:r>
        <w:rPr>
          <w:rFonts w:ascii="Cambria Math" w:eastAsia="Cambria Math" w:hAnsi="Cambria Math" w:cs="Cambria Math"/>
          <w:i/>
          <w:iCs/>
        </w:rPr>
        <w:t>) y</w:t>
      </w:r>
      <w:r>
        <w:rPr>
          <w:rFonts w:ascii="Cambria Math" w:eastAsia="Cambria Math" w:hAnsi="Cambria Math" w:cs="Cambria Math"/>
          <w:i/>
          <w:iCs/>
          <w:vertAlign w:val="subscript"/>
        </w:rPr>
        <w:t>PA</w:t>
      </w:r>
      <w:r>
        <w:rPr>
          <w:rFonts w:ascii="Cambria Math" w:eastAsia="Cambria Math" w:hAnsi="Cambria Math" w:cs="Cambria Math"/>
          <w:i/>
          <w:iCs/>
        </w:rPr>
        <w:t xml:space="preserve"> r</w:t>
      </w:r>
      <w:r>
        <w:rPr>
          <w:rFonts w:ascii="Cambria Math" w:eastAsia="Cambria Math" w:hAnsi="Cambria Math" w:cs="Cambria Math"/>
          <w:i/>
          <w:iCs/>
          <w:vertAlign w:val="subscript"/>
        </w:rPr>
        <w:t>PA</w:t>
      </w:r>
      <w:r>
        <w:rPr>
          <w:rFonts w:ascii="Cambria Math" w:eastAsia="Cambria Math" w:hAnsi="Cambria Math" w:cs="Cambria Math"/>
          <w:i/>
          <w:iCs/>
        </w:rPr>
        <w:t xml:space="preserve"> EF</w:t>
      </w:r>
      <w:r>
        <w:rPr>
          <w:rFonts w:ascii="Cambria Math" w:eastAsia="Cambria Math" w:hAnsi="Cambria Math" w:cs="Cambria Math"/>
          <w:i/>
          <w:iCs/>
          <w:vertAlign w:val="subscript"/>
        </w:rPr>
        <w:t>disp,PA</w:t>
      </w:r>
      <w:r>
        <w:tab/>
        <w:t>(11b)</w:t>
      </w:r>
    </w:p>
    <w:p w14:paraId="674F4BA1" w14:textId="77777777" w:rsidR="00D36F8C" w:rsidRDefault="00000000">
      <w:pPr>
        <w:tabs>
          <w:tab w:val="center" w:pos="4968"/>
          <w:tab w:val="right" w:pos="9936"/>
        </w:tabs>
        <w:spacing w:before="60"/>
      </w:pPr>
      <w:r>
        <w:tab/>
      </w:r>
      <w:r>
        <w:rPr>
          <w:rFonts w:ascii="Cambria Math" w:eastAsia="Cambria Math" w:hAnsi="Cambria Math" w:cs="Cambria Math"/>
          <w:i/>
          <w:iCs/>
        </w:rPr>
        <w:t>G</w:t>
      </w:r>
      <w:r>
        <w:rPr>
          <w:rFonts w:ascii="Cambria Math" w:eastAsia="Cambria Math" w:hAnsi="Cambria Math" w:cs="Cambria Math"/>
          <w:i/>
          <w:iCs/>
          <w:vertAlign w:val="subscript"/>
        </w:rPr>
        <w:t>P</w:t>
      </w:r>
      <w:r>
        <w:rPr>
          <w:rFonts w:ascii="Cambria Math" w:eastAsia="Cambria Math" w:hAnsi="Cambria Math" w:cs="Cambria Math"/>
          <w:i/>
          <w:iCs/>
        </w:rPr>
        <w:t xml:space="preserve"> = O</w:t>
      </w:r>
      <w:r>
        <w:rPr>
          <w:rFonts w:ascii="Cambria Math" w:eastAsia="Cambria Math" w:hAnsi="Cambria Math" w:cs="Cambria Math"/>
          <w:i/>
          <w:iCs/>
          <w:vertAlign w:val="subscript"/>
        </w:rPr>
        <w:t>P</w:t>
      </w:r>
      <w:r>
        <w:rPr>
          <w:rFonts w:ascii="Cambria Math" w:eastAsia="Cambria Math" w:hAnsi="Cambria Math" w:cs="Cambria Math"/>
          <w:i/>
          <w:iCs/>
        </w:rPr>
        <w:t xml:space="preserve"> − C</w:t>
      </w:r>
      <w:r>
        <w:rPr>
          <w:rFonts w:ascii="Cambria Math" w:eastAsia="Cambria Math" w:hAnsi="Cambria Math" w:cs="Cambria Math"/>
          <w:i/>
          <w:iCs/>
          <w:vertAlign w:val="subscript"/>
        </w:rPr>
        <w:t>P</w:t>
      </w:r>
      <w:r>
        <w:tab/>
        <w:t>(11c)</w:t>
      </w:r>
    </w:p>
    <w:p w14:paraId="68153B33" w14:textId="77777777" w:rsidR="00D36F8C" w:rsidRDefault="00000000">
      <w:pPr>
        <w:tabs>
          <w:tab w:val="center" w:pos="4968"/>
          <w:tab w:val="right" w:pos="9936"/>
        </w:tabs>
        <w:spacing w:before="60"/>
      </w:pPr>
      <w:r>
        <w:tab/>
      </w:r>
      <w:r>
        <w:rPr>
          <w:rFonts w:ascii="Cambria Math" w:eastAsia="Cambria Math" w:hAnsi="Cambria Math" w:cs="Cambria Math"/>
          <w:i/>
          <w:iCs/>
        </w:rPr>
        <w:t>ER = M × (1 − b</w:t>
      </w:r>
      <w:r>
        <w:rPr>
          <w:rFonts w:ascii="Cambria Math" w:eastAsia="Cambria Math" w:hAnsi="Cambria Math" w:cs="Cambria Math"/>
          <w:i/>
          <w:iCs/>
          <w:vertAlign w:val="subscript"/>
        </w:rPr>
        <w:t>REC</w:t>
      </w:r>
      <w:r>
        <w:rPr>
          <w:rFonts w:ascii="Cambria Math" w:eastAsia="Cambria Math" w:hAnsi="Cambria Math" w:cs="Cambria Math"/>
          <w:i/>
          <w:iCs/>
        </w:rPr>
        <w:t>) × (G</w:t>
      </w:r>
      <w:r>
        <w:rPr>
          <w:rFonts w:ascii="Cambria Math" w:eastAsia="Cambria Math" w:hAnsi="Cambria Math" w:cs="Cambria Math"/>
          <w:i/>
          <w:iCs/>
          <w:vertAlign w:val="subscript"/>
        </w:rPr>
        <w:t>B</w:t>
      </w:r>
      <w:r>
        <w:rPr>
          <w:rFonts w:ascii="Cambria Math" w:eastAsia="Cambria Math" w:hAnsi="Cambria Math" w:cs="Cambria Math"/>
          <w:i/>
          <w:iCs/>
        </w:rPr>
        <w:t xml:space="preserve"> − G</w:t>
      </w:r>
      <w:r>
        <w:rPr>
          <w:rFonts w:ascii="Cambria Math" w:eastAsia="Cambria Math" w:hAnsi="Cambria Math" w:cs="Cambria Math"/>
          <w:i/>
          <w:iCs/>
          <w:vertAlign w:val="subscript"/>
        </w:rPr>
        <w:t>P</w:t>
      </w:r>
      <w:r>
        <w:rPr>
          <w:rFonts w:ascii="Cambria Math" w:eastAsia="Cambria Math" w:hAnsi="Cambria Math" w:cs="Cambria Math"/>
          <w:i/>
          <w:iCs/>
        </w:rPr>
        <w:t>) × (1 − LE)</w:t>
      </w:r>
      <w:r>
        <w:tab/>
        <w:t>(12)</w:t>
      </w:r>
    </w:p>
    <w:p w14:paraId="118CF9F5" w14:textId="77777777" w:rsidR="00D36F8C" w:rsidRDefault="00000000">
      <w:pPr>
        <w:jc w:val="both"/>
      </w:pPr>
      <w:r>
        <w:t>O</w:t>
      </w:r>
      <w:r>
        <w:rPr>
          <w:vertAlign w:val="subscript"/>
        </w:rPr>
        <w:t>col</w:t>
      </w:r>
      <w:r>
        <w:t xml:space="preserve"> là nhiên liệu thu gom nội tỉnh chia cho M. O</w:t>
      </w:r>
      <w:r>
        <w:rPr>
          <w:vertAlign w:val="subscript"/>
        </w:rPr>
        <w:t>sort</w:t>
      </w:r>
      <w:r>
        <w:t xml:space="preserve"> là điện phân loại, ép kiện. O</w:t>
      </w:r>
      <w:r>
        <w:rPr>
          <w:vertAlign w:val="subscript"/>
        </w:rPr>
        <w:t>haul</w:t>
      </w:r>
      <w:r>
        <w:t xml:space="preserve"> = Σ quãng đường × tỷ lệ phương thức × hệ số tkm × tấn ướt chở trên tấn khô × hệ số hiệu chỉnh tải. O</w:t>
      </w:r>
      <w:r>
        <w:rPr>
          <w:vertAlign w:val="subscript"/>
        </w:rPr>
        <w:t>rec</w:t>
      </w:r>
      <w:r>
        <w:t xml:space="preserve"> gồm điện, nhiên liệu lò hơi, dầu và hóa chất của nhà máy. λ là tỷ lệ sợi hao hụt đem chôn tại bãi gần nhà máy. r là tỷ lệ thay thế sau điều chỉnh chất lượng; EF</w:t>
      </w:r>
      <w:r>
        <w:rPr>
          <w:vertAlign w:val="subscript"/>
        </w:rPr>
        <w:t>disp</w:t>
      </w:r>
      <w:r>
        <w:t xml:space="preserve"> là phát thải của vật liệu thực sự bị thay thế, không mặc định là nguyên sinh. LE là rò rỉ, ví dụ khi chương trình hút vỏ hộp khỏi một cơ sở tái chế sẵn có. Áp dụng cùng quy tắc cho hai kịch bản; không vừa cộng sản xuất vật liệu vào G</w:t>
      </w:r>
      <w:r>
        <w:rPr>
          <w:vertAlign w:val="subscript"/>
        </w:rPr>
        <w:t>B</w:t>
      </w:r>
      <w:r>
        <w:t xml:space="preserve"> vừa trừ cùng lợi ích ở G</w:t>
      </w:r>
      <w:r>
        <w:rPr>
          <w:vertAlign w:val="subscript"/>
        </w:rPr>
        <w:t>P</w:t>
      </w:r>
      <w:r>
        <w:t>.</w:t>
      </w:r>
    </w:p>
    <w:p w14:paraId="685DEB17" w14:textId="77777777" w:rsidR="00D36F8C" w:rsidRDefault="00000000">
      <w:pPr>
        <w:pStyle w:val="Heading2"/>
      </w:pPr>
      <w:r>
        <w:t>5.6 Quy ước thời gian của methane</w:t>
      </w:r>
    </w:p>
    <w:p w14:paraId="7610CF4F" w14:textId="77777777" w:rsidR="00D36F8C" w:rsidRDefault="00000000">
      <w:pPr>
        <w:jc w:val="both"/>
      </w:pPr>
      <w:r>
        <w:t>Sổ A và tuyên bố phát thải tránh được theo vòng đời dùng EF</w:t>
      </w:r>
      <w:r>
        <w:rPr>
          <w:vertAlign w:val="subscript"/>
        </w:rPr>
        <w:t>LF</w:t>
      </w:r>
      <w:r>
        <w:t xml:space="preserve"> toàn phần. Nếu chương trình đi tới tín chỉ, phần methane phải tính theo mô hình FOD của CDM Tool 04. Khi đó lợi ích ghi nhận theo năm thấp hơn </w:t>
      </w:r>
      <w:r>
        <w:lastRenderedPageBreak/>
        <w:t>nhiều trong những năm đầu và kéo dài nhiều năm sau khi vỏ hộp được thu gom. Cần phân biệt thời gian phát sinh khí với chân trời GWP100 dùng để quy đổi.</w:t>
      </w:r>
    </w:p>
    <w:p w14:paraId="7DEDF07F" w14:textId="77777777" w:rsidR="00D36F8C" w:rsidRDefault="00000000">
      <w:pPr>
        <w:keepNext/>
        <w:spacing w:before="120" w:after="0" w:line="240" w:lineRule="auto"/>
        <w:jc w:val="center"/>
      </w:pPr>
      <w:r>
        <w:rPr>
          <w:noProof/>
        </w:rPr>
        <w:drawing>
          <wp:inline distT="0" distB="0" distL="0" distR="0" wp14:anchorId="7D87AAAA" wp14:editId="58AB26D4">
            <wp:extent cx="5905500" cy="3609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905500" cy="3609975"/>
                    </a:xfrm>
                    <a:prstGeom prst="rect">
                      <a:avLst/>
                    </a:prstGeom>
                  </pic:spPr>
                </pic:pic>
              </a:graphicData>
            </a:graphic>
          </wp:inline>
        </w:drawing>
      </w:r>
    </w:p>
    <w:p w14:paraId="2C30406F" w14:textId="77777777" w:rsidR="00D36F8C" w:rsidRDefault="00000000">
      <w:pPr>
        <w:spacing w:before="60" w:after="160"/>
      </w:pPr>
      <w:r>
        <w:rPr>
          <w:i/>
          <w:iCs/>
          <w:sz w:val="19"/>
          <w:szCs w:val="19"/>
        </w:rPr>
        <w:t>Hình 1 Dòng vật liệu và điểm tính phát thải, lợi ích theo hai sổ. Ô viền màu có trong Sổ A; Sổ B tính tất cả các ô.</w:t>
      </w:r>
    </w:p>
    <w:p w14:paraId="5224A562" w14:textId="77777777" w:rsidR="00D36F8C" w:rsidRDefault="00000000">
      <w:pPr>
        <w:pStyle w:val="Heading1"/>
      </w:pPr>
      <w:r>
        <w:t>6 Tham số mặc định và dữ liệu Việt Nam</w:t>
      </w:r>
    </w:p>
    <w:p w14:paraId="62E9903E" w14:textId="77777777" w:rsidR="00D36F8C" w:rsidRDefault="00000000">
      <w:pPr>
        <w:jc w:val="both"/>
      </w:pPr>
      <w:r>
        <w:t>Bảng 3 phân biệt giá trị mặc định có căn cứ với giả định cần thay bằng số đo. Ba cột Thấp, Trung tâm, Cao dùng cho phân tích kịch bản; kịch bản Thấp cho ER thấp nhất và là con số nên công bố. Các hệ số IPCC đốt lộ thiên cần đối chiếu lại với bảng gốc trước khi dùng.</w:t>
      </w:r>
    </w:p>
    <w:p w14:paraId="354F8D17" w14:textId="77777777" w:rsidR="00D36F8C" w:rsidRDefault="00000000">
      <w:pPr>
        <w:keepNext/>
        <w:spacing w:before="160" w:after="80"/>
      </w:pPr>
      <w:r>
        <w:rPr>
          <w:rFonts w:ascii="Calibri" w:eastAsia="Calibri" w:hAnsi="Calibri" w:cs="Calibri"/>
          <w:b/>
          <w:bCs/>
          <w:sz w:val="21"/>
          <w:szCs w:val="21"/>
        </w:rPr>
        <w:t>Bảng 3 Tham số chung</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450"/>
        <w:gridCol w:w="2350"/>
        <w:gridCol w:w="3336"/>
      </w:tblGrid>
      <w:tr w:rsidR="00D36F8C" w14:paraId="19673A4E" w14:textId="77777777">
        <w:tblPrEx>
          <w:tblCellMar>
            <w:top w:w="0" w:type="dxa"/>
            <w:bottom w:w="0" w:type="dxa"/>
          </w:tblCellMar>
        </w:tblPrEx>
        <w:trPr>
          <w:cantSplit/>
          <w:tblHeader/>
        </w:trPr>
        <w:tc>
          <w:tcPr>
            <w:tcW w:w="2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7E47AC8" w14:textId="77777777" w:rsidR="00D36F8C" w:rsidRDefault="00000000">
            <w:pPr>
              <w:spacing w:after="0" w:line="240" w:lineRule="auto"/>
            </w:pPr>
            <w:r>
              <w:rPr>
                <w:b/>
                <w:bCs/>
                <w:sz w:val="18"/>
                <w:szCs w:val="18"/>
              </w:rPr>
              <w:t>Tham số</w:t>
            </w:r>
          </w:p>
        </w:tc>
        <w:tc>
          <w:tcPr>
            <w:tcW w:w="145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234712D0" w14:textId="77777777" w:rsidR="00D36F8C" w:rsidRDefault="00000000">
            <w:pPr>
              <w:spacing w:after="0" w:line="240" w:lineRule="auto"/>
            </w:pPr>
            <w:r>
              <w:rPr>
                <w:b/>
                <w:bCs/>
                <w:sz w:val="18"/>
                <w:szCs w:val="18"/>
              </w:rPr>
              <w:t>Ký hiệu</w:t>
            </w:r>
          </w:p>
        </w:tc>
        <w:tc>
          <w:tcPr>
            <w:tcW w:w="235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78A98C54" w14:textId="77777777" w:rsidR="00D36F8C" w:rsidRDefault="00000000">
            <w:pPr>
              <w:spacing w:after="0" w:line="240" w:lineRule="auto"/>
            </w:pPr>
            <w:r>
              <w:rPr>
                <w:b/>
                <w:bCs/>
                <w:sz w:val="18"/>
                <w:szCs w:val="18"/>
              </w:rPr>
              <w:t>Thấp / Trung tâm / Cao</w:t>
            </w:r>
          </w:p>
        </w:tc>
        <w:tc>
          <w:tcPr>
            <w:tcW w:w="33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1B795965" w14:textId="77777777" w:rsidR="00D36F8C" w:rsidRDefault="00000000">
            <w:pPr>
              <w:spacing w:after="0" w:line="240" w:lineRule="auto"/>
            </w:pPr>
            <w:r>
              <w:rPr>
                <w:b/>
                <w:bCs/>
                <w:sz w:val="18"/>
                <w:szCs w:val="18"/>
              </w:rPr>
              <w:t>Nguồn hoặc tình trạng</w:t>
            </w:r>
          </w:p>
        </w:tc>
      </w:tr>
      <w:tr w:rsidR="00D36F8C" w14:paraId="087D61EC"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834882C" w14:textId="77777777" w:rsidR="00D36F8C" w:rsidRDefault="00000000">
            <w:pPr>
              <w:spacing w:after="0" w:line="240" w:lineRule="auto"/>
            </w:pPr>
            <w:r>
              <w:rPr>
                <w:sz w:val="18"/>
                <w:szCs w:val="18"/>
              </w:rPr>
              <w:t>Tỷ lệ sợi, PE, nhôm (khô)</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258BE8E" w14:textId="77777777" w:rsidR="00D36F8C" w:rsidRDefault="00000000">
            <w:pPr>
              <w:spacing w:after="0" w:line="240" w:lineRule="auto"/>
            </w:pPr>
            <w:r>
              <w:rPr>
                <w:sz w:val="18"/>
                <w:szCs w:val="18"/>
              </w:rPr>
              <w:t>f</w:t>
            </w:r>
            <w:r>
              <w:rPr>
                <w:sz w:val="18"/>
                <w:szCs w:val="18"/>
                <w:vertAlign w:val="subscript"/>
              </w:rPr>
              <w:t>fib</w:t>
            </w:r>
            <w:r>
              <w:rPr>
                <w:sz w:val="18"/>
                <w:szCs w:val="18"/>
              </w:rPr>
              <w:t>, f</w:t>
            </w:r>
            <w:r>
              <w:rPr>
                <w:sz w:val="18"/>
                <w:szCs w:val="18"/>
                <w:vertAlign w:val="subscript"/>
              </w:rPr>
              <w:t>PE</w:t>
            </w:r>
            <w:r>
              <w:rPr>
                <w:sz w:val="18"/>
                <w:szCs w:val="18"/>
              </w:rPr>
              <w:t>, f</w:t>
            </w:r>
            <w:r>
              <w:rPr>
                <w:sz w:val="18"/>
                <w:szCs w:val="18"/>
                <w:vertAlign w:val="subscript"/>
              </w:rPr>
              <w:t>Al</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192F467" w14:textId="77777777" w:rsidR="00D36F8C" w:rsidRDefault="00000000">
            <w:pPr>
              <w:spacing w:after="0" w:line="240" w:lineRule="auto"/>
            </w:pPr>
            <w:r>
              <w:rPr>
                <w:sz w:val="18"/>
                <w:szCs w:val="18"/>
              </w:rPr>
              <w:t>0,75 / 0,20 / 0,05</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DB6CA58" w14:textId="77777777" w:rsidR="00D36F8C" w:rsidRDefault="00000000">
            <w:pPr>
              <w:spacing w:after="0" w:line="240" w:lineRule="auto"/>
            </w:pPr>
            <w:r>
              <w:rPr>
                <w:sz w:val="18"/>
                <w:szCs w:val="18"/>
              </w:rPr>
              <w:t>Robertson (2021); thay bằng thông số nhà cung cấp theo loại hộp</w:t>
            </w:r>
          </w:p>
        </w:tc>
      </w:tr>
      <w:tr w:rsidR="00D36F8C" w14:paraId="559C47FD"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D2246F1" w14:textId="77777777" w:rsidR="00D36F8C" w:rsidRDefault="00000000">
            <w:pPr>
              <w:spacing w:after="0" w:line="240" w:lineRule="auto"/>
            </w:pPr>
            <w:r>
              <w:rPr>
                <w:sz w:val="18"/>
                <w:szCs w:val="18"/>
              </w:rPr>
              <w:t>Carbon hữu cơ phân hủy được của giấy</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7086BD6" w14:textId="77777777" w:rsidR="00D36F8C" w:rsidRDefault="00000000">
            <w:pPr>
              <w:spacing w:after="0" w:line="240" w:lineRule="auto"/>
            </w:pPr>
            <w:r>
              <w:rPr>
                <w:sz w:val="18"/>
                <w:szCs w:val="18"/>
              </w:rPr>
              <w:t>DOC</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91DB3E0" w14:textId="77777777" w:rsidR="00D36F8C" w:rsidRDefault="00000000">
            <w:pPr>
              <w:spacing w:after="0" w:line="240" w:lineRule="auto"/>
            </w:pPr>
            <w:r>
              <w:rPr>
                <w:sz w:val="18"/>
                <w:szCs w:val="18"/>
              </w:rPr>
              <w:t>0,44 gốc khô (0,40 gốc ướt)</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38A8EFC" w14:textId="77777777" w:rsidR="00D36F8C" w:rsidRDefault="00000000">
            <w:pPr>
              <w:spacing w:after="0" w:line="240" w:lineRule="auto"/>
            </w:pPr>
            <w:r>
              <w:rPr>
                <w:sz w:val="18"/>
                <w:szCs w:val="18"/>
              </w:rPr>
              <w:t>IPCC 2006, Tập 5, Ch.2</w:t>
            </w:r>
          </w:p>
        </w:tc>
      </w:tr>
      <w:tr w:rsidR="00D36F8C" w14:paraId="2AD81AEE"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782AB12" w14:textId="77777777" w:rsidR="00D36F8C" w:rsidRDefault="00000000">
            <w:pPr>
              <w:spacing w:after="0" w:line="240" w:lineRule="auto"/>
            </w:pPr>
            <w:r>
              <w:rPr>
                <w:sz w:val="18"/>
                <w:szCs w:val="18"/>
              </w:rPr>
              <w:t>Phần DOC phân hủy; tỷ lệ CH₄ trong khí bãi</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AE9BC8A" w14:textId="77777777" w:rsidR="00D36F8C" w:rsidRDefault="00000000">
            <w:pPr>
              <w:spacing w:after="0" w:line="240" w:lineRule="auto"/>
            </w:pPr>
            <w:r>
              <w:rPr>
                <w:sz w:val="18"/>
                <w:szCs w:val="18"/>
              </w:rPr>
              <w:t>DOC</w:t>
            </w:r>
            <w:r>
              <w:rPr>
                <w:sz w:val="18"/>
                <w:szCs w:val="18"/>
                <w:vertAlign w:val="subscript"/>
              </w:rPr>
              <w:t>f</w:t>
            </w:r>
            <w:r>
              <w:rPr>
                <w:sz w:val="18"/>
                <w:szCs w:val="18"/>
              </w:rPr>
              <w:t>; F</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3F2BC4C" w14:textId="77777777" w:rsidR="00D36F8C" w:rsidRDefault="00000000">
            <w:pPr>
              <w:spacing w:after="0" w:line="240" w:lineRule="auto"/>
            </w:pPr>
            <w:r>
              <w:rPr>
                <w:sz w:val="18"/>
                <w:szCs w:val="18"/>
              </w:rPr>
              <w:t>0,5; 0,5</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22E71FE" w14:textId="77777777" w:rsidR="00D36F8C" w:rsidRDefault="00000000">
            <w:pPr>
              <w:spacing w:after="0" w:line="240" w:lineRule="auto"/>
            </w:pPr>
            <w:r>
              <w:rPr>
                <w:sz w:val="18"/>
                <w:szCs w:val="18"/>
              </w:rPr>
              <w:t>IPCC 2006 và 2019 Refinement</w:t>
            </w:r>
          </w:p>
        </w:tc>
      </w:tr>
      <w:tr w:rsidR="00D36F8C" w14:paraId="226BF422"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F8DE764" w14:textId="77777777" w:rsidR="00D36F8C" w:rsidRDefault="00000000">
            <w:pPr>
              <w:spacing w:after="0" w:line="240" w:lineRule="auto"/>
            </w:pPr>
            <w:r>
              <w:rPr>
                <w:sz w:val="18"/>
                <w:szCs w:val="18"/>
              </w:rPr>
              <w:t>GWP100</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1F2B361" w14:textId="77777777" w:rsidR="00D36F8C" w:rsidRDefault="00000000">
            <w:pPr>
              <w:spacing w:after="0" w:line="240" w:lineRule="auto"/>
            </w:pPr>
            <w:r>
              <w:rPr>
                <w:sz w:val="18"/>
                <w:szCs w:val="18"/>
              </w:rPr>
              <w:t>GWP</w:t>
            </w:r>
            <w:r>
              <w:rPr>
                <w:sz w:val="18"/>
                <w:szCs w:val="18"/>
                <w:vertAlign w:val="subscript"/>
              </w:rPr>
              <w:t>CH4</w:t>
            </w:r>
            <w:r>
              <w:rPr>
                <w:sz w:val="18"/>
                <w:szCs w:val="18"/>
              </w:rPr>
              <w:t>; GWP</w:t>
            </w:r>
            <w:r>
              <w:rPr>
                <w:sz w:val="18"/>
                <w:szCs w:val="18"/>
                <w:vertAlign w:val="subscript"/>
              </w:rPr>
              <w:t>N2O</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6D87817" w14:textId="77777777" w:rsidR="00D36F8C" w:rsidRDefault="00000000">
            <w:pPr>
              <w:spacing w:after="0" w:line="240" w:lineRule="auto"/>
            </w:pPr>
            <w:r>
              <w:rPr>
                <w:sz w:val="18"/>
                <w:szCs w:val="18"/>
              </w:rPr>
              <w:t>27,0; 273 (AR6) hoặc 28; 265 (AR5)</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983DAC2" w14:textId="77777777" w:rsidR="00D36F8C" w:rsidRDefault="00000000">
            <w:pPr>
              <w:spacing w:after="0" w:line="240" w:lineRule="auto"/>
            </w:pPr>
            <w:r>
              <w:rPr>
                <w:sz w:val="18"/>
                <w:szCs w:val="18"/>
              </w:rPr>
              <w:t>Theo chế độ báo cáo; một bộ xuyên suốt</w:t>
            </w:r>
          </w:p>
        </w:tc>
      </w:tr>
      <w:tr w:rsidR="00D36F8C" w14:paraId="14E05DAC"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28183E9" w14:textId="77777777" w:rsidR="00D36F8C" w:rsidRDefault="00000000">
            <w:pPr>
              <w:spacing w:after="0" w:line="240" w:lineRule="auto"/>
            </w:pPr>
            <w:r>
              <w:rPr>
                <w:sz w:val="18"/>
                <w:szCs w:val="18"/>
              </w:rPr>
              <w:t>Carbon trong PE; oxy hóa đốt hở; oxy hóa lò đốt</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DAE4707" w14:textId="77777777" w:rsidR="00D36F8C" w:rsidRDefault="00000000">
            <w:pPr>
              <w:spacing w:after="0" w:line="240" w:lineRule="auto"/>
            </w:pPr>
            <w:r>
              <w:rPr>
                <w:sz w:val="18"/>
                <w:szCs w:val="18"/>
              </w:rPr>
              <w:t>CC</w:t>
            </w:r>
            <w:r>
              <w:rPr>
                <w:sz w:val="18"/>
                <w:szCs w:val="18"/>
                <w:vertAlign w:val="subscript"/>
              </w:rPr>
              <w:t>PE</w:t>
            </w:r>
            <w:r>
              <w:rPr>
                <w:sz w:val="18"/>
                <w:szCs w:val="18"/>
              </w:rPr>
              <w:t>; OF</w:t>
            </w:r>
            <w:r>
              <w:rPr>
                <w:sz w:val="18"/>
                <w:szCs w:val="18"/>
                <w:vertAlign w:val="subscript"/>
              </w:rPr>
              <w:t>OB</w:t>
            </w:r>
            <w:r>
              <w:rPr>
                <w:sz w:val="18"/>
                <w:szCs w:val="18"/>
              </w:rPr>
              <w:t>; OF</w:t>
            </w:r>
            <w:r>
              <w:rPr>
                <w:sz w:val="18"/>
                <w:szCs w:val="18"/>
                <w:vertAlign w:val="subscript"/>
              </w:rPr>
              <w:t>INC</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1E7B907" w14:textId="77777777" w:rsidR="00D36F8C" w:rsidRDefault="00000000">
            <w:pPr>
              <w:spacing w:after="0" w:line="240" w:lineRule="auto"/>
            </w:pPr>
            <w:r>
              <w:rPr>
                <w:sz w:val="18"/>
                <w:szCs w:val="18"/>
              </w:rPr>
              <w:t>0,857; 0,58; 1,0</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1B20115" w14:textId="77777777" w:rsidR="00D36F8C" w:rsidRDefault="00000000">
            <w:pPr>
              <w:spacing w:after="0" w:line="240" w:lineRule="auto"/>
            </w:pPr>
            <w:r>
              <w:rPr>
                <w:sz w:val="18"/>
                <w:szCs w:val="18"/>
              </w:rPr>
              <w:t>Công thức hóa học; IPCC 2006 Tập 5 Ch.5</w:t>
            </w:r>
          </w:p>
        </w:tc>
      </w:tr>
      <w:tr w:rsidR="00D36F8C" w14:paraId="3FD024E2"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E764E32" w14:textId="77777777" w:rsidR="00D36F8C" w:rsidRDefault="00000000">
            <w:pPr>
              <w:spacing w:after="0" w:line="240" w:lineRule="auto"/>
            </w:pPr>
            <w:r>
              <w:rPr>
                <w:sz w:val="18"/>
                <w:szCs w:val="18"/>
              </w:rPr>
              <w:t>CH₄, N₂O từ đốt hở</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BA2D5A5" w14:textId="77777777" w:rsidR="00D36F8C" w:rsidRDefault="00000000">
            <w:pPr>
              <w:spacing w:after="0" w:line="240" w:lineRule="auto"/>
            </w:pPr>
            <w:r>
              <w:rPr>
                <w:sz w:val="18"/>
                <w:szCs w:val="18"/>
              </w:rPr>
              <w:t>EF</w:t>
            </w:r>
            <w:r>
              <w:rPr>
                <w:sz w:val="18"/>
                <w:szCs w:val="18"/>
                <w:vertAlign w:val="subscript"/>
              </w:rPr>
              <w:t>CH4,OB</w:t>
            </w:r>
            <w:r>
              <w:rPr>
                <w:sz w:val="18"/>
                <w:szCs w:val="18"/>
              </w:rPr>
              <w:t>; EF</w:t>
            </w:r>
            <w:r>
              <w:rPr>
                <w:sz w:val="18"/>
                <w:szCs w:val="18"/>
                <w:vertAlign w:val="subscript"/>
              </w:rPr>
              <w:t>N2O,OB</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0EAC99F" w14:textId="77777777" w:rsidR="00D36F8C" w:rsidRDefault="00000000">
            <w:pPr>
              <w:spacing w:after="0" w:line="240" w:lineRule="auto"/>
            </w:pPr>
            <w:r>
              <w:rPr>
                <w:sz w:val="18"/>
                <w:szCs w:val="18"/>
              </w:rPr>
              <w:t>6,5; 0,15 kg/tấn</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A45B8D2" w14:textId="77777777" w:rsidR="00D36F8C" w:rsidRDefault="00000000">
            <w:pPr>
              <w:spacing w:after="0" w:line="240" w:lineRule="auto"/>
            </w:pPr>
            <w:r>
              <w:rPr>
                <w:sz w:val="18"/>
                <w:szCs w:val="18"/>
              </w:rPr>
              <w:t>IPCC 2006 Tập 5 Ch.5</w:t>
            </w:r>
          </w:p>
        </w:tc>
      </w:tr>
      <w:tr w:rsidR="00D36F8C" w14:paraId="077AE61C"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F23CEB7" w14:textId="77777777" w:rsidR="00D36F8C" w:rsidRDefault="00000000">
            <w:pPr>
              <w:spacing w:after="0" w:line="240" w:lineRule="auto"/>
            </w:pPr>
            <w:r>
              <w:rPr>
                <w:sz w:val="18"/>
                <w:szCs w:val="18"/>
              </w:rPr>
              <w:t>Nhiệt trị thấp vỏ hộp</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BBE0971" w14:textId="77777777" w:rsidR="00D36F8C" w:rsidRDefault="00000000">
            <w:pPr>
              <w:spacing w:after="0" w:line="240" w:lineRule="auto"/>
            </w:pPr>
            <w:r>
              <w:rPr>
                <w:sz w:val="18"/>
                <w:szCs w:val="18"/>
              </w:rPr>
              <w:t>LHV</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47CE80E" w14:textId="77777777" w:rsidR="00D36F8C" w:rsidRDefault="00000000">
            <w:pPr>
              <w:spacing w:after="0" w:line="240" w:lineRule="auto"/>
            </w:pPr>
            <w:r>
              <w:rPr>
                <w:sz w:val="18"/>
                <w:szCs w:val="18"/>
              </w:rPr>
              <w:t>khoảng 20,6 GJ/tấn khô</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6DF16D0" w14:textId="77777777" w:rsidR="00D36F8C" w:rsidRDefault="00000000">
            <w:pPr>
              <w:spacing w:after="0" w:line="240" w:lineRule="auto"/>
            </w:pPr>
            <w:r>
              <w:rPr>
                <w:sz w:val="18"/>
                <w:szCs w:val="18"/>
              </w:rPr>
              <w:t>Tính từ sợi 16 và PE 43 GJ/tấn (xấp xỉ)</w:t>
            </w:r>
          </w:p>
        </w:tc>
      </w:tr>
      <w:tr w:rsidR="00D36F8C" w14:paraId="038F8EF2"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0DA6AA9" w14:textId="77777777" w:rsidR="00D36F8C" w:rsidRDefault="00000000">
            <w:pPr>
              <w:spacing w:after="0" w:line="240" w:lineRule="auto"/>
            </w:pPr>
            <w:r>
              <w:rPr>
                <w:sz w:val="18"/>
                <w:szCs w:val="18"/>
              </w:rPr>
              <w:t>Hệ số lưới điện Việt Nam</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63A887F" w14:textId="77777777" w:rsidR="00D36F8C" w:rsidRDefault="00000000">
            <w:pPr>
              <w:spacing w:after="0" w:line="240" w:lineRule="auto"/>
            </w:pPr>
            <w:r>
              <w:rPr>
                <w:sz w:val="18"/>
                <w:szCs w:val="18"/>
              </w:rPr>
              <w:t>EF</w:t>
            </w:r>
            <w:r>
              <w:rPr>
                <w:sz w:val="18"/>
                <w:szCs w:val="18"/>
                <w:vertAlign w:val="subscript"/>
              </w:rPr>
              <w:t>grid</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E934555" w14:textId="77777777" w:rsidR="00D36F8C" w:rsidRDefault="00000000">
            <w:pPr>
              <w:spacing w:after="0" w:line="240" w:lineRule="auto"/>
            </w:pPr>
            <w:r>
              <w:rPr>
                <w:sz w:val="18"/>
                <w:szCs w:val="18"/>
              </w:rPr>
              <w:t>0,6592 tCO₂/MWh</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2D79582" w14:textId="77777777" w:rsidR="00D36F8C" w:rsidRDefault="00000000">
            <w:pPr>
              <w:spacing w:after="0" w:line="240" w:lineRule="auto"/>
            </w:pPr>
            <w:r>
              <w:rPr>
                <w:sz w:val="18"/>
                <w:szCs w:val="18"/>
              </w:rPr>
              <w:t>Năm 2023, công bố chính thức. Ước tính 2024 (0,6811) và 2025 (0,6235) của ĐH Bách khoa Hà Nội chưa chính thức (</w:t>
            </w:r>
            <w:hyperlink r:id="rId20" w:history="1">
              <w:r>
                <w:rPr>
                  <w:rStyle w:val="Hyperlink"/>
                  <w:sz w:val="18"/>
                  <w:szCs w:val="18"/>
                </w:rPr>
                <w:t>QUACERT</w:t>
              </w:r>
            </w:hyperlink>
            <w:r>
              <w:rPr>
                <w:sz w:val="18"/>
                <w:szCs w:val="18"/>
              </w:rPr>
              <w:t>)</w:t>
            </w:r>
          </w:p>
        </w:tc>
      </w:tr>
      <w:tr w:rsidR="00D36F8C" w14:paraId="790D83AE"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56B90EA" w14:textId="77777777" w:rsidR="00D36F8C" w:rsidRDefault="00000000">
            <w:pPr>
              <w:spacing w:after="0" w:line="240" w:lineRule="auto"/>
            </w:pPr>
            <w:r>
              <w:rPr>
                <w:sz w:val="18"/>
                <w:szCs w:val="18"/>
              </w:rPr>
              <w:lastRenderedPageBreak/>
              <w:t>Diesel; than lò hơi</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AA320EB" w14:textId="77777777" w:rsidR="00D36F8C" w:rsidRDefault="00000000">
            <w:pPr>
              <w:spacing w:after="0" w:line="240" w:lineRule="auto"/>
            </w:pPr>
            <w:r>
              <w:rPr>
                <w:sz w:val="18"/>
                <w:szCs w:val="18"/>
              </w:rPr>
              <w:t>EF</w:t>
            </w:r>
            <w:r>
              <w:rPr>
                <w:sz w:val="18"/>
                <w:szCs w:val="18"/>
                <w:vertAlign w:val="subscript"/>
              </w:rPr>
              <w:t>diesel</w:t>
            </w:r>
            <w:r>
              <w:rPr>
                <w:sz w:val="18"/>
                <w:szCs w:val="18"/>
              </w:rPr>
              <w:t>; EF</w:t>
            </w:r>
            <w:r>
              <w:rPr>
                <w:sz w:val="18"/>
                <w:szCs w:val="18"/>
                <w:vertAlign w:val="subscript"/>
              </w:rPr>
              <w:t>coal</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F32D540" w14:textId="77777777" w:rsidR="00D36F8C" w:rsidRDefault="00000000">
            <w:pPr>
              <w:spacing w:after="0" w:line="240" w:lineRule="auto"/>
            </w:pPr>
            <w:r>
              <w:rPr>
                <w:sz w:val="18"/>
                <w:szCs w:val="18"/>
              </w:rPr>
              <w:t>2,68 kgCO₂/lít; 2,62 tCO₂/tấn</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C2BD815" w14:textId="77777777" w:rsidR="00D36F8C" w:rsidRDefault="00000000">
            <w:pPr>
              <w:spacing w:after="0" w:line="240" w:lineRule="auto"/>
            </w:pPr>
            <w:r>
              <w:rPr>
                <w:sz w:val="18"/>
                <w:szCs w:val="18"/>
              </w:rPr>
              <w:t>Tính từ hệ số mặc định IPCC 2006; xấp xỉ</w:t>
            </w:r>
          </w:p>
        </w:tc>
      </w:tr>
      <w:tr w:rsidR="00D36F8C" w14:paraId="1A88990E"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6819330" w14:textId="77777777" w:rsidR="00D36F8C" w:rsidRDefault="00000000">
            <w:pPr>
              <w:spacing w:after="0" w:line="240" w:lineRule="auto"/>
            </w:pPr>
            <w:r>
              <w:rPr>
                <w:sz w:val="18"/>
                <w:szCs w:val="18"/>
              </w:rPr>
              <w:t>Vận chuyển: xe tải khớp nối; đường sắt diesel; tàu container</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3F85E59" w14:textId="77777777" w:rsidR="00D36F8C" w:rsidRDefault="00000000">
            <w:pPr>
              <w:spacing w:after="0" w:line="240" w:lineRule="auto"/>
            </w:pPr>
            <w:r>
              <w:rPr>
                <w:sz w:val="18"/>
                <w:szCs w:val="18"/>
              </w:rPr>
              <w:t>EF</w:t>
            </w:r>
            <w:r>
              <w:rPr>
                <w:sz w:val="18"/>
                <w:szCs w:val="18"/>
                <w:vertAlign w:val="subscript"/>
              </w:rPr>
              <w:t>road</w:t>
            </w:r>
            <w:r>
              <w:rPr>
                <w:sz w:val="18"/>
                <w:szCs w:val="18"/>
              </w:rPr>
              <w:t>; EF</w:t>
            </w:r>
            <w:r>
              <w:rPr>
                <w:sz w:val="18"/>
                <w:szCs w:val="18"/>
                <w:vertAlign w:val="subscript"/>
              </w:rPr>
              <w:t>rail</w:t>
            </w:r>
            <w:r>
              <w:rPr>
                <w:sz w:val="18"/>
                <w:szCs w:val="18"/>
              </w:rPr>
              <w:t>; EF</w:t>
            </w:r>
            <w:r>
              <w:rPr>
                <w:sz w:val="18"/>
                <w:szCs w:val="18"/>
                <w:vertAlign w:val="subscript"/>
              </w:rPr>
              <w:t>sea</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A4841DD" w14:textId="77777777" w:rsidR="00D36F8C" w:rsidRDefault="00000000">
            <w:pPr>
              <w:spacing w:after="0" w:line="240" w:lineRule="auto"/>
            </w:pPr>
            <w:r>
              <w:rPr>
                <w:sz w:val="18"/>
                <w:szCs w:val="18"/>
              </w:rPr>
              <w:t>0,107; 0,0307; 0,0226 kgCO₂e/tkm</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113AAB3" w14:textId="77777777" w:rsidR="00D36F8C" w:rsidRDefault="00000000">
            <w:pPr>
              <w:spacing w:after="0" w:line="240" w:lineRule="auto"/>
            </w:pPr>
            <w:r>
              <w:rPr>
                <w:sz w:val="18"/>
                <w:szCs w:val="18"/>
              </w:rPr>
              <w:t xml:space="preserve">GLEC Framework v3.2 (2023), well-to-wheel, qua </w:t>
            </w:r>
            <w:hyperlink r:id="rId21" w:history="1">
              <w:r>
                <w:rPr>
                  <w:rStyle w:val="Hyperlink"/>
                  <w:sz w:val="18"/>
                  <w:szCs w:val="18"/>
                </w:rPr>
                <w:t>GreenCalculus</w:t>
              </w:r>
            </w:hyperlink>
            <w:r>
              <w:rPr>
                <w:sz w:val="18"/>
                <w:szCs w:val="18"/>
              </w:rPr>
              <w:t>; ưu tiên lít dầu thực tế</w:t>
            </w:r>
          </w:p>
        </w:tc>
      </w:tr>
      <w:tr w:rsidR="00D36F8C" w14:paraId="10E1A4CE"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5646384" w14:textId="77777777" w:rsidR="00D36F8C" w:rsidRDefault="00000000">
            <w:pPr>
              <w:spacing w:after="0" w:line="240" w:lineRule="auto"/>
            </w:pPr>
            <w:r>
              <w:rPr>
                <w:sz w:val="18"/>
                <w:szCs w:val="18"/>
              </w:rPr>
              <w:t>Hiệu chỉnh tải (kiện vỏ hộp nhẹ)</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74A5F9E" w14:textId="77777777" w:rsidR="00D36F8C" w:rsidRDefault="00000000">
            <w:pPr>
              <w:spacing w:after="0" w:line="240" w:lineRule="auto"/>
            </w:pPr>
            <w:r>
              <w:rPr>
                <w:sz w:val="18"/>
                <w:szCs w:val="18"/>
              </w:rPr>
              <w:t>k</w:t>
            </w:r>
            <w:r>
              <w:rPr>
                <w:sz w:val="18"/>
                <w:szCs w:val="18"/>
                <w:vertAlign w:val="subscript"/>
              </w:rPr>
              <w:t>load</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B433817" w14:textId="77777777" w:rsidR="00D36F8C" w:rsidRDefault="00000000">
            <w:pPr>
              <w:spacing w:after="0" w:line="240" w:lineRule="auto"/>
            </w:pPr>
            <w:r>
              <w:rPr>
                <w:sz w:val="18"/>
                <w:szCs w:val="18"/>
              </w:rPr>
              <w:t>1,3 / 1,0 / 1,0</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CCBC8C2" w14:textId="77777777" w:rsidR="00D36F8C" w:rsidRDefault="00000000">
            <w:pPr>
              <w:spacing w:after="0" w:line="240" w:lineRule="auto"/>
            </w:pPr>
            <w:r>
              <w:rPr>
                <w:sz w:val="18"/>
                <w:szCs w:val="18"/>
              </w:rPr>
              <w:t>Giả định</w:t>
            </w:r>
          </w:p>
        </w:tc>
      </w:tr>
      <w:tr w:rsidR="00D36F8C" w14:paraId="3F0D3F69"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B7C1CA6" w14:textId="77777777" w:rsidR="00D36F8C" w:rsidRDefault="00000000">
            <w:pPr>
              <w:spacing w:after="0" w:line="240" w:lineRule="auto"/>
            </w:pPr>
            <w:r>
              <w:rPr>
                <w:sz w:val="18"/>
                <w:szCs w:val="18"/>
              </w:rPr>
              <w:t>Điện phân loại, ép kiện</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363CD6B" w14:textId="77777777" w:rsidR="00D36F8C" w:rsidRDefault="00000000">
            <w:pPr>
              <w:spacing w:after="0" w:line="240" w:lineRule="auto"/>
            </w:pPr>
            <w:r>
              <w:rPr>
                <w:sz w:val="18"/>
                <w:szCs w:val="18"/>
              </w:rPr>
              <w:t>kWh</w:t>
            </w:r>
            <w:r>
              <w:rPr>
                <w:sz w:val="18"/>
                <w:szCs w:val="18"/>
                <w:vertAlign w:val="subscript"/>
              </w:rPr>
              <w:t>sort</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6CC55CA" w14:textId="77777777" w:rsidR="00D36F8C" w:rsidRDefault="00000000">
            <w:pPr>
              <w:spacing w:after="0" w:line="240" w:lineRule="auto"/>
            </w:pPr>
            <w:r>
              <w:rPr>
                <w:sz w:val="18"/>
                <w:szCs w:val="18"/>
              </w:rPr>
              <w:t>40 / 30 / 20 kWh/tấn</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8041102" w14:textId="77777777" w:rsidR="00D36F8C" w:rsidRDefault="00000000">
            <w:pPr>
              <w:spacing w:after="0" w:line="240" w:lineRule="auto"/>
            </w:pPr>
            <w:r>
              <w:rPr>
                <w:sz w:val="18"/>
                <w:szCs w:val="18"/>
              </w:rPr>
              <w:t>Giả định; thay bằng công tơ</w:t>
            </w:r>
          </w:p>
        </w:tc>
      </w:tr>
      <w:tr w:rsidR="00D36F8C" w14:paraId="102D6049"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A467622" w14:textId="77777777" w:rsidR="00D36F8C" w:rsidRDefault="00000000">
            <w:pPr>
              <w:spacing w:after="0" w:line="240" w:lineRule="auto"/>
            </w:pPr>
            <w:r>
              <w:rPr>
                <w:sz w:val="18"/>
                <w:szCs w:val="18"/>
              </w:rPr>
              <w:t>Nhà máy: điện; than; DO; hóa chất</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C2EF221" w14:textId="77777777" w:rsidR="00D36F8C" w:rsidRDefault="00000000">
            <w:pPr>
              <w:spacing w:after="0" w:line="240" w:lineRule="auto"/>
            </w:pPr>
            <w:r>
              <w:rPr>
                <w:sz w:val="18"/>
                <w:szCs w:val="18"/>
              </w:rPr>
              <w:t>O</w:t>
            </w:r>
            <w:r>
              <w:rPr>
                <w:sz w:val="18"/>
                <w:szCs w:val="18"/>
                <w:vertAlign w:val="subscript"/>
              </w:rPr>
              <w:t>rec</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00BDEE4" w14:textId="77777777" w:rsidR="00D36F8C" w:rsidRDefault="00000000">
            <w:pPr>
              <w:spacing w:after="0" w:line="240" w:lineRule="auto"/>
            </w:pPr>
            <w:r>
              <w:rPr>
                <w:sz w:val="18"/>
                <w:szCs w:val="18"/>
              </w:rPr>
              <w:t>250 / 150 / 100 kWh; 40 / 20 / 0 kg; 3 / 2 / 1 lít; 0,010 / 0,005 / 0 tCO₂e (trên tấn)</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27290E4" w14:textId="77777777" w:rsidR="00D36F8C" w:rsidRDefault="00000000">
            <w:pPr>
              <w:spacing w:after="0" w:line="240" w:lineRule="auto"/>
            </w:pPr>
            <w:r>
              <w:rPr>
                <w:sz w:val="18"/>
                <w:szCs w:val="18"/>
              </w:rPr>
              <w:t>Giả định; Zhang (2026) cho thấy điện là gánh nặng lớn nhất</w:t>
            </w:r>
          </w:p>
        </w:tc>
      </w:tr>
      <w:tr w:rsidR="00D36F8C" w14:paraId="6EA56DCF"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7D381C0" w14:textId="77777777" w:rsidR="00D36F8C" w:rsidRDefault="00000000">
            <w:pPr>
              <w:spacing w:after="0" w:line="240" w:lineRule="auto"/>
            </w:pPr>
            <w:r>
              <w:rPr>
                <w:sz w:val="18"/>
                <w:szCs w:val="18"/>
              </w:rPr>
              <w:t>Hao hụt sợi đem chôn</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8256330" w14:textId="77777777" w:rsidR="00D36F8C" w:rsidRDefault="00000000">
            <w:pPr>
              <w:spacing w:after="0" w:line="240" w:lineRule="auto"/>
            </w:pPr>
            <w:r>
              <w:rPr>
                <w:sz w:val="18"/>
                <w:szCs w:val="18"/>
              </w:rPr>
              <w:t>λ</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D5B0A5E" w14:textId="77777777" w:rsidR="00D36F8C" w:rsidRDefault="00000000">
            <w:pPr>
              <w:spacing w:after="0" w:line="240" w:lineRule="auto"/>
            </w:pPr>
            <w:r>
              <w:rPr>
                <w:sz w:val="18"/>
                <w:szCs w:val="18"/>
              </w:rPr>
              <w:t>8% / 5% / 3%</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8A9A180" w14:textId="77777777" w:rsidR="00D36F8C" w:rsidRDefault="00000000">
            <w:pPr>
              <w:spacing w:after="0" w:line="240" w:lineRule="auto"/>
            </w:pPr>
            <w:r>
              <w:rPr>
                <w:sz w:val="18"/>
                <w:szCs w:val="18"/>
              </w:rPr>
              <w:t>Giả định; đo bằng cân bằng vật chất</w:t>
            </w:r>
          </w:p>
        </w:tc>
      </w:tr>
      <w:tr w:rsidR="00D36F8C" w14:paraId="453839ED"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B7294E2" w14:textId="77777777" w:rsidR="00D36F8C" w:rsidRDefault="00000000">
            <w:pPr>
              <w:spacing w:after="0" w:line="240" w:lineRule="auto"/>
            </w:pPr>
            <w:r>
              <w:rPr>
                <w:sz w:val="18"/>
                <w:szCs w:val="18"/>
              </w:rPr>
              <w:t>Thay thế sợi</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5C69783" w14:textId="77777777" w:rsidR="00D36F8C" w:rsidRDefault="00000000">
            <w:pPr>
              <w:spacing w:after="0" w:line="240" w:lineRule="auto"/>
            </w:pPr>
            <w:r>
              <w:rPr>
                <w:sz w:val="18"/>
                <w:szCs w:val="18"/>
              </w:rPr>
              <w:t>r</w:t>
            </w:r>
            <w:r>
              <w:rPr>
                <w:sz w:val="18"/>
                <w:szCs w:val="18"/>
                <w:vertAlign w:val="subscript"/>
              </w:rPr>
              <w:t>fib</w:t>
            </w:r>
            <w:r>
              <w:rPr>
                <w:sz w:val="18"/>
                <w:szCs w:val="18"/>
              </w:rPr>
              <w:t xml:space="preserve"> × EF</w:t>
            </w:r>
            <w:r>
              <w:rPr>
                <w:sz w:val="18"/>
                <w:szCs w:val="18"/>
                <w:vertAlign w:val="subscript"/>
              </w:rPr>
              <w:t>disp,fib</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EAF6EA2" w14:textId="77777777" w:rsidR="00D36F8C" w:rsidRDefault="00000000">
            <w:pPr>
              <w:spacing w:after="0" w:line="240" w:lineRule="auto"/>
            </w:pPr>
            <w:r>
              <w:rPr>
                <w:sz w:val="18"/>
                <w:szCs w:val="18"/>
              </w:rPr>
              <w:t>0,5 × 0,10 / 0,8 × 0,35 / 0,9 × 0,70</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B3401DC" w14:textId="77777777" w:rsidR="00D36F8C" w:rsidRDefault="00000000">
            <w:pPr>
              <w:spacing w:after="0" w:line="240" w:lineRule="auto"/>
            </w:pPr>
            <w:r>
              <w:rPr>
                <w:sz w:val="18"/>
                <w:szCs w:val="18"/>
              </w:rPr>
              <w:t>Thấp: thay giấy thu hồi; Cao: thay bột kraft nguyên sinh</w:t>
            </w:r>
          </w:p>
        </w:tc>
      </w:tr>
      <w:tr w:rsidR="00D36F8C" w14:paraId="23C56498"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9130D3F" w14:textId="77777777" w:rsidR="00D36F8C" w:rsidRDefault="00000000">
            <w:pPr>
              <w:spacing w:after="0" w:line="240" w:lineRule="auto"/>
            </w:pPr>
            <w:r>
              <w:rPr>
                <w:sz w:val="18"/>
                <w:szCs w:val="18"/>
              </w:rPr>
              <w:t>Thay thế PolyAl</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AEFDCB1" w14:textId="77777777" w:rsidR="00D36F8C" w:rsidRDefault="00000000">
            <w:pPr>
              <w:spacing w:after="0" w:line="240" w:lineRule="auto"/>
            </w:pPr>
            <w:r>
              <w:rPr>
                <w:sz w:val="18"/>
                <w:szCs w:val="18"/>
              </w:rPr>
              <w:t>y</w:t>
            </w:r>
            <w:r>
              <w:rPr>
                <w:sz w:val="18"/>
                <w:szCs w:val="18"/>
                <w:vertAlign w:val="subscript"/>
              </w:rPr>
              <w:t>PA</w:t>
            </w:r>
            <w:r>
              <w:rPr>
                <w:sz w:val="18"/>
                <w:szCs w:val="18"/>
              </w:rPr>
              <w:t>; r</w:t>
            </w:r>
            <w:r>
              <w:rPr>
                <w:sz w:val="18"/>
                <w:szCs w:val="18"/>
                <w:vertAlign w:val="subscript"/>
              </w:rPr>
              <w:t>PA</w:t>
            </w:r>
            <w:r>
              <w:rPr>
                <w:sz w:val="18"/>
                <w:szCs w:val="18"/>
              </w:rPr>
              <w:t>; EF</w:t>
            </w:r>
            <w:r>
              <w:rPr>
                <w:sz w:val="18"/>
                <w:szCs w:val="18"/>
                <w:vertAlign w:val="subscript"/>
              </w:rPr>
              <w:t>disp,PA</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EF22B9F" w14:textId="77777777" w:rsidR="00D36F8C" w:rsidRDefault="00000000">
            <w:pPr>
              <w:spacing w:after="0" w:line="240" w:lineRule="auto"/>
            </w:pPr>
            <w:r>
              <w:rPr>
                <w:sz w:val="18"/>
                <w:szCs w:val="18"/>
              </w:rPr>
              <w:t>0,80/0,90/0,95; 0,3/0,7/0,9; 0,3/0,8/1,5</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B804AE1" w14:textId="77777777" w:rsidR="00D36F8C" w:rsidRDefault="00000000">
            <w:pPr>
              <w:spacing w:after="0" w:line="240" w:lineRule="auto"/>
            </w:pPr>
            <w:r>
              <w:rPr>
                <w:sz w:val="18"/>
                <w:szCs w:val="18"/>
              </w:rPr>
              <w:t>Chỉ ghi khi có hợp đồng bán và xác nhận công năng</w:t>
            </w:r>
          </w:p>
        </w:tc>
      </w:tr>
      <w:tr w:rsidR="00D36F8C" w14:paraId="0EBC5FBC"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6B0E04D" w14:textId="77777777" w:rsidR="00D36F8C" w:rsidRDefault="00000000">
            <w:pPr>
              <w:spacing w:after="0" w:line="240" w:lineRule="auto"/>
            </w:pPr>
            <w:r>
              <w:rPr>
                <w:sz w:val="18"/>
                <w:szCs w:val="18"/>
              </w:rPr>
              <w:t>Rò rỉ</w:t>
            </w:r>
          </w:p>
        </w:tc>
        <w:tc>
          <w:tcPr>
            <w:tcW w:w="14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A99D5F2" w14:textId="77777777" w:rsidR="00D36F8C" w:rsidRDefault="00000000">
            <w:pPr>
              <w:spacing w:after="0" w:line="240" w:lineRule="auto"/>
            </w:pPr>
            <w:r>
              <w:rPr>
                <w:sz w:val="18"/>
                <w:szCs w:val="18"/>
              </w:rPr>
              <w:t>LE</w:t>
            </w:r>
          </w:p>
        </w:tc>
        <w:tc>
          <w:tcPr>
            <w:tcW w:w="235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AB174EF" w14:textId="77777777" w:rsidR="00D36F8C" w:rsidRDefault="00000000">
            <w:pPr>
              <w:spacing w:after="0" w:line="240" w:lineRule="auto"/>
            </w:pPr>
            <w:r>
              <w:rPr>
                <w:sz w:val="18"/>
                <w:szCs w:val="18"/>
              </w:rPr>
              <w:t>5% / 0 / 0</w:t>
            </w:r>
          </w:p>
        </w:tc>
        <w:tc>
          <w:tcPr>
            <w:tcW w:w="33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4DFF4BA" w14:textId="77777777" w:rsidR="00D36F8C" w:rsidRDefault="00000000">
            <w:pPr>
              <w:spacing w:after="0" w:line="240" w:lineRule="auto"/>
            </w:pPr>
            <w:r>
              <w:rPr>
                <w:sz w:val="18"/>
                <w:szCs w:val="18"/>
              </w:rPr>
              <w:t>Giả định</w:t>
            </w:r>
          </w:p>
        </w:tc>
      </w:tr>
    </w:tbl>
    <w:p w14:paraId="6BB172CE" w14:textId="77777777" w:rsidR="00D36F8C" w:rsidRDefault="00000000">
      <w:pPr>
        <w:jc w:val="both"/>
      </w:pPr>
      <w:r>
        <w:t>Bảng 4 là đối chứng và vận chuyển mặc định cho bốn điểm thu gom. Tỷ lệ tuyến lấy từ thông tin công khai về xử lý rác sinh hoạt, chưa phải khảo sát riêng cho vỏ hộp. Hà Nội đốt khoảng 70% rác tại nhà máy điện rác Sóc Sơn, công suất 90 MW, tiếp nhận 4.000 đến 5.000 tấn/ngày (</w:t>
      </w:r>
      <w:hyperlink r:id="rId22" w:history="1">
        <w:r>
          <w:rPr>
            <w:rStyle w:val="Hyperlink"/>
          </w:rPr>
          <w:t>Hànộimới, 2023</w:t>
        </w:r>
      </w:hyperlink>
      <w:r>
        <w:t>). Nhà máy đốt rác phát điện đầu tiên của Đà Nẵng dự kiến vận hành quý I/2027 (</w:t>
      </w:r>
      <w:hyperlink r:id="rId23" w:history="1">
        <w:r>
          <w:rPr>
            <w:rStyle w:val="Hyperlink"/>
          </w:rPr>
          <w:t>Dân trí, 2026</w:t>
        </w:r>
      </w:hyperlink>
      <w:r>
        <w:t>). Quảng Ninh đốt khoảng 61% và chôn 39% rác sinh hoạt, chủ yếu bằng lò đốt nhỏ (</w:t>
      </w:r>
      <w:hyperlink r:id="rId24" w:history="1">
        <w:r>
          <w:rPr>
            <w:rStyle w:val="Hyperlink"/>
          </w:rPr>
          <w:t>Báo Quảng Ninh</w:t>
        </w:r>
      </w:hyperlink>
      <w:r>
        <w:t>). TP. Hồ Chí Minh còn chôn lấp gần 60% trong khoảng 14.000 tấn rác sinh hoạt mỗi ngày (</w:t>
      </w:r>
      <w:hyperlink r:id="rId25" w:history="1">
        <w:r>
          <w:rPr>
            <w:rStyle w:val="Hyperlink"/>
          </w:rPr>
          <w:t>Vietstock, 2026</w:t>
        </w:r>
      </w:hyperlink>
      <w:r>
        <w:t>). Vỏ hộp bị loại khỏi dây chuyền compost nên tỷ lệ chôn lấp của vỏ hộp được đặt cao hơn tỷ lệ chung.</w:t>
      </w:r>
    </w:p>
    <w:p w14:paraId="118E3BEE" w14:textId="77777777" w:rsidR="00D36F8C" w:rsidRDefault="00000000">
      <w:pPr>
        <w:keepNext/>
        <w:spacing w:before="160" w:after="80"/>
      </w:pPr>
      <w:r>
        <w:rPr>
          <w:rFonts w:ascii="Calibri" w:eastAsia="Calibri" w:hAnsi="Calibri" w:cs="Calibri"/>
          <w:b/>
          <w:bCs/>
          <w:sz w:val="21"/>
          <w:szCs w:val="21"/>
        </w:rPr>
        <w:t>Bảng 4 Đối chứng và vận chuyển mặc định theo điểm thu gom</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36"/>
        <w:gridCol w:w="1700"/>
        <w:gridCol w:w="1700"/>
        <w:gridCol w:w="1700"/>
        <w:gridCol w:w="1700"/>
      </w:tblGrid>
      <w:tr w:rsidR="00D36F8C" w14:paraId="33595915" w14:textId="77777777">
        <w:tblPrEx>
          <w:tblCellMar>
            <w:top w:w="0" w:type="dxa"/>
            <w:bottom w:w="0" w:type="dxa"/>
          </w:tblCellMar>
        </w:tblPrEx>
        <w:trPr>
          <w:cantSplit/>
          <w:tblHeader/>
        </w:trPr>
        <w:tc>
          <w:tcPr>
            <w:tcW w:w="31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189DCCF0" w14:textId="77777777" w:rsidR="00D36F8C" w:rsidRDefault="00000000">
            <w:pPr>
              <w:spacing w:after="0" w:line="240" w:lineRule="auto"/>
            </w:pPr>
            <w:r>
              <w:rPr>
                <w:b/>
                <w:bCs/>
                <w:sz w:val="18"/>
                <w:szCs w:val="18"/>
              </w:rPr>
              <w:t>Chỉ tiêu</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78CBE4DB" w14:textId="77777777" w:rsidR="00D36F8C" w:rsidRDefault="00000000">
            <w:pPr>
              <w:spacing w:after="0" w:line="240" w:lineRule="auto"/>
            </w:pPr>
            <w:r>
              <w:rPr>
                <w:b/>
                <w:bCs/>
                <w:sz w:val="18"/>
                <w:szCs w:val="18"/>
              </w:rPr>
              <w:t>Hà Nội</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117A550" w14:textId="77777777" w:rsidR="00D36F8C" w:rsidRDefault="00000000">
            <w:pPr>
              <w:spacing w:after="0" w:line="240" w:lineRule="auto"/>
            </w:pPr>
            <w:r>
              <w:rPr>
                <w:b/>
                <w:bCs/>
                <w:sz w:val="18"/>
                <w:szCs w:val="18"/>
              </w:rPr>
              <w:t>Đà Nẵng</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32DBC5D" w14:textId="77777777" w:rsidR="00D36F8C" w:rsidRDefault="00000000">
            <w:pPr>
              <w:spacing w:after="0" w:line="240" w:lineRule="auto"/>
            </w:pPr>
            <w:r>
              <w:rPr>
                <w:b/>
                <w:bCs/>
                <w:sz w:val="18"/>
                <w:szCs w:val="18"/>
              </w:rPr>
              <w:t>Quảng Ninh</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CA00E81" w14:textId="77777777" w:rsidR="00D36F8C" w:rsidRDefault="00000000">
            <w:pPr>
              <w:spacing w:after="0" w:line="240" w:lineRule="auto"/>
            </w:pPr>
            <w:r>
              <w:rPr>
                <w:b/>
                <w:bCs/>
                <w:sz w:val="18"/>
                <w:szCs w:val="18"/>
              </w:rPr>
              <w:t>TP. Hồ Chí Minh</w:t>
            </w:r>
          </w:p>
        </w:tc>
      </w:tr>
      <w:tr w:rsidR="00D36F8C" w14:paraId="1EED27D7"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5BB5BE4" w14:textId="77777777" w:rsidR="00D36F8C" w:rsidRDefault="00000000">
            <w:pPr>
              <w:spacing w:after="0" w:line="240" w:lineRule="auto"/>
            </w:pPr>
            <w:r>
              <w:rPr>
                <w:sz w:val="18"/>
                <w:szCs w:val="18"/>
              </w:rPr>
              <w:t>Chôn lấp / lò đốt / đốt hở / ve chai</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C0E475" w14:textId="77777777" w:rsidR="00D36F8C" w:rsidRDefault="00000000">
            <w:pPr>
              <w:spacing w:after="0" w:line="240" w:lineRule="auto"/>
            </w:pPr>
            <w:r>
              <w:rPr>
                <w:sz w:val="18"/>
                <w:szCs w:val="18"/>
              </w:rPr>
              <w:t>25 / 65 / 5 / 5%</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6096A45" w14:textId="77777777" w:rsidR="00D36F8C" w:rsidRDefault="00000000">
            <w:pPr>
              <w:spacing w:after="0" w:line="240" w:lineRule="auto"/>
            </w:pPr>
            <w:r>
              <w:rPr>
                <w:sz w:val="18"/>
                <w:szCs w:val="18"/>
              </w:rPr>
              <w:t>90 / 0 / 5 / 5%</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23EA604" w14:textId="77777777" w:rsidR="00D36F8C" w:rsidRDefault="00000000">
            <w:pPr>
              <w:spacing w:after="0" w:line="240" w:lineRule="auto"/>
            </w:pPr>
            <w:r>
              <w:rPr>
                <w:sz w:val="18"/>
                <w:szCs w:val="18"/>
              </w:rPr>
              <w:t>35 / 55 / 5 / 5%</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873D632" w14:textId="77777777" w:rsidR="00D36F8C" w:rsidRDefault="00000000">
            <w:pPr>
              <w:spacing w:after="0" w:line="240" w:lineRule="auto"/>
            </w:pPr>
            <w:r>
              <w:rPr>
                <w:sz w:val="18"/>
                <w:szCs w:val="18"/>
              </w:rPr>
              <w:t>75 / 10 / 5 / 10%</w:t>
            </w:r>
          </w:p>
        </w:tc>
      </w:tr>
      <w:tr w:rsidR="00D36F8C" w14:paraId="7AAAA31A"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B1E1742" w14:textId="77777777" w:rsidR="00D36F8C" w:rsidRDefault="00000000">
            <w:pPr>
              <w:spacing w:after="0" w:line="240" w:lineRule="auto"/>
            </w:pPr>
            <w:r>
              <w:rPr>
                <w:sz w:val="18"/>
                <w:szCs w:val="18"/>
              </w:rPr>
              <w:t>MCF Thấp / Trung tâm / Cao</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C6F02A4" w14:textId="77777777" w:rsidR="00D36F8C" w:rsidRDefault="00000000">
            <w:pPr>
              <w:spacing w:after="0" w:line="240" w:lineRule="auto"/>
            </w:pPr>
            <w:r>
              <w:rPr>
                <w:sz w:val="18"/>
                <w:szCs w:val="18"/>
              </w:rPr>
              <w:t>0,6 / 0,8 / 1,0</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9C501E0" w14:textId="77777777" w:rsidR="00D36F8C" w:rsidRDefault="00000000">
            <w:pPr>
              <w:spacing w:after="0" w:line="240" w:lineRule="auto"/>
            </w:pPr>
            <w:r>
              <w:rPr>
                <w:sz w:val="18"/>
                <w:szCs w:val="18"/>
              </w:rPr>
              <w:t>0,6 / 0,8 / 1,0</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5E5E656" w14:textId="77777777" w:rsidR="00D36F8C" w:rsidRDefault="00000000">
            <w:pPr>
              <w:spacing w:after="0" w:line="240" w:lineRule="auto"/>
            </w:pPr>
            <w:r>
              <w:rPr>
                <w:sz w:val="18"/>
                <w:szCs w:val="18"/>
              </w:rPr>
              <w:t>0,4 / 0,6 / 0,8</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FC243AA" w14:textId="77777777" w:rsidR="00D36F8C" w:rsidRDefault="00000000">
            <w:pPr>
              <w:spacing w:after="0" w:line="240" w:lineRule="auto"/>
            </w:pPr>
            <w:r>
              <w:rPr>
                <w:sz w:val="18"/>
                <w:szCs w:val="18"/>
              </w:rPr>
              <w:t>0,6 / 0,8 / 1,0</w:t>
            </w:r>
          </w:p>
        </w:tc>
      </w:tr>
      <w:tr w:rsidR="00D36F8C" w14:paraId="4DC841F2"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400E2F" w14:textId="77777777" w:rsidR="00D36F8C" w:rsidRDefault="00000000">
            <w:pPr>
              <w:spacing w:after="0" w:line="240" w:lineRule="auto"/>
            </w:pPr>
            <w:r>
              <w:rPr>
                <w:sz w:val="18"/>
                <w:szCs w:val="18"/>
              </w:rPr>
              <w:t>Hiệu suất điện ròng lò đốt η</w:t>
            </w:r>
            <w:r>
              <w:rPr>
                <w:sz w:val="18"/>
                <w:szCs w:val="18"/>
                <w:vertAlign w:val="subscript"/>
              </w:rPr>
              <w:t>el</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76D16EF" w14:textId="77777777" w:rsidR="00D36F8C" w:rsidRDefault="00000000">
            <w:pPr>
              <w:spacing w:after="0" w:line="240" w:lineRule="auto"/>
            </w:pPr>
            <w:r>
              <w:rPr>
                <w:sz w:val="18"/>
                <w:szCs w:val="18"/>
              </w:rPr>
              <w:t>20%</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F15C464" w14:textId="77777777" w:rsidR="00D36F8C" w:rsidRDefault="00000000">
            <w:pPr>
              <w:spacing w:after="0" w:line="240" w:lineRule="auto"/>
            </w:pPr>
            <w:r>
              <w:rPr>
                <w:sz w:val="18"/>
                <w:szCs w:val="18"/>
              </w:rPr>
              <w:t>20% (khi có nhà máy)</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11BE394" w14:textId="77777777" w:rsidR="00D36F8C" w:rsidRDefault="00000000">
            <w:pPr>
              <w:spacing w:after="0" w:line="240" w:lineRule="auto"/>
            </w:pPr>
            <w:r>
              <w:rPr>
                <w:sz w:val="18"/>
                <w:szCs w:val="18"/>
              </w:rPr>
              <w:t>0 (lò nhỏ)</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5F687E6" w14:textId="77777777" w:rsidR="00D36F8C" w:rsidRDefault="00000000">
            <w:pPr>
              <w:spacing w:after="0" w:line="240" w:lineRule="auto"/>
            </w:pPr>
            <w:r>
              <w:rPr>
                <w:sz w:val="18"/>
                <w:szCs w:val="18"/>
              </w:rPr>
              <w:t>20%</w:t>
            </w:r>
          </w:p>
        </w:tc>
      </w:tr>
      <w:tr w:rsidR="00D36F8C" w14:paraId="54522796"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696AE05" w14:textId="77777777" w:rsidR="00D36F8C" w:rsidRDefault="00000000">
            <w:pPr>
              <w:spacing w:after="0" w:line="240" w:lineRule="auto"/>
            </w:pPr>
            <w:r>
              <w:rPr>
                <w:sz w:val="18"/>
                <w:szCs w:val="18"/>
              </w:rPr>
              <w:t>Quãng đường bộ về nhà máy TP. HCM</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D9EA5C6" w14:textId="77777777" w:rsidR="00D36F8C" w:rsidRDefault="00000000">
            <w:pPr>
              <w:spacing w:after="0" w:line="240" w:lineRule="auto"/>
            </w:pPr>
            <w:r>
              <w:rPr>
                <w:sz w:val="18"/>
                <w:szCs w:val="18"/>
              </w:rPr>
              <w:t>1.720 km</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A4A59FF" w14:textId="77777777" w:rsidR="00D36F8C" w:rsidRDefault="00000000">
            <w:pPr>
              <w:spacing w:after="0" w:line="240" w:lineRule="auto"/>
            </w:pPr>
            <w:r>
              <w:rPr>
                <w:sz w:val="18"/>
                <w:szCs w:val="18"/>
              </w:rPr>
              <w:t>960 km</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16B66E6" w14:textId="77777777" w:rsidR="00D36F8C" w:rsidRDefault="00000000">
            <w:pPr>
              <w:spacing w:after="0" w:line="240" w:lineRule="auto"/>
            </w:pPr>
            <w:r>
              <w:rPr>
                <w:sz w:val="18"/>
                <w:szCs w:val="18"/>
              </w:rPr>
              <w:t>1.850 km</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057688A" w14:textId="77777777" w:rsidR="00D36F8C" w:rsidRDefault="00000000">
            <w:pPr>
              <w:spacing w:after="0" w:line="240" w:lineRule="auto"/>
            </w:pPr>
            <w:r>
              <w:rPr>
                <w:sz w:val="18"/>
                <w:szCs w:val="18"/>
              </w:rPr>
              <w:t>30 km</w:t>
            </w:r>
          </w:p>
        </w:tc>
      </w:tr>
      <w:tr w:rsidR="00D36F8C" w14:paraId="1C839463"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EC57AD5" w14:textId="77777777" w:rsidR="00D36F8C" w:rsidRDefault="00000000">
            <w:pPr>
              <w:spacing w:after="0" w:line="240" w:lineRule="auto"/>
            </w:pPr>
            <w:r>
              <w:rPr>
                <w:sz w:val="18"/>
                <w:szCs w:val="18"/>
              </w:rPr>
              <w:t>Phương thức mặc định</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9063950" w14:textId="77777777" w:rsidR="00D36F8C" w:rsidRDefault="00000000">
            <w:pPr>
              <w:spacing w:after="0" w:line="240" w:lineRule="auto"/>
            </w:pPr>
            <w:r>
              <w:rPr>
                <w:sz w:val="18"/>
                <w:szCs w:val="18"/>
              </w:rPr>
              <w:t>Đường bộ</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ED1762B" w14:textId="77777777" w:rsidR="00D36F8C" w:rsidRDefault="00000000">
            <w:pPr>
              <w:spacing w:after="0" w:line="240" w:lineRule="auto"/>
            </w:pPr>
            <w:r>
              <w:rPr>
                <w:sz w:val="18"/>
                <w:szCs w:val="18"/>
              </w:rPr>
              <w:t>Đường bộ</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4AF5417" w14:textId="77777777" w:rsidR="00D36F8C" w:rsidRDefault="00000000">
            <w:pPr>
              <w:spacing w:after="0" w:line="240" w:lineRule="auto"/>
            </w:pPr>
            <w:r>
              <w:rPr>
                <w:sz w:val="18"/>
                <w:szCs w:val="18"/>
              </w:rPr>
              <w:t>Đường bộ</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539FBF5" w14:textId="77777777" w:rsidR="00D36F8C" w:rsidRDefault="00000000">
            <w:pPr>
              <w:spacing w:after="0" w:line="240" w:lineRule="auto"/>
            </w:pPr>
            <w:r>
              <w:rPr>
                <w:sz w:val="18"/>
                <w:szCs w:val="18"/>
              </w:rPr>
              <w:t>Đường bộ</w:t>
            </w:r>
          </w:p>
        </w:tc>
      </w:tr>
    </w:tbl>
    <w:p w14:paraId="7EE05E25" w14:textId="77777777" w:rsidR="00D36F8C" w:rsidRDefault="00000000">
      <w:pPr>
        <w:spacing w:before="60" w:after="160"/>
      </w:pPr>
      <w:r>
        <w:rPr>
          <w:i/>
          <w:iCs/>
          <w:sz w:val="19"/>
          <w:szCs w:val="19"/>
        </w:rPr>
        <w:t>Giá trị giả định, thay bằng khảo sát đối chứng có hồ sơ và vận đơn thực tế. Quãng đường ước tính theo Quốc lộ 1A.</w:t>
      </w:r>
    </w:p>
    <w:p w14:paraId="0088BCE3" w14:textId="77777777" w:rsidR="00D36F8C" w:rsidRDefault="00000000">
      <w:pPr>
        <w:jc w:val="both"/>
      </w:pPr>
      <w:r>
        <w:t>Bảng 5 là bộ dữ liệu tối thiểu cần thu thập. Nên phân tầng lấy mẫu theo loại điểm thu gom, vùng và công nghệ, và thực hiện nhiều đợt vận hành. Cỡ mẫu chưa ấn định khi chưa biết phương sai, quy mô và độ chính xác cần đạt.</w:t>
      </w:r>
    </w:p>
    <w:p w14:paraId="18C3054B" w14:textId="77777777" w:rsidR="00D36F8C" w:rsidRDefault="00000000">
      <w:pPr>
        <w:keepNext/>
        <w:spacing w:before="160" w:after="80"/>
      </w:pPr>
      <w:r>
        <w:rPr>
          <w:rFonts w:ascii="Calibri" w:eastAsia="Calibri" w:hAnsi="Calibri" w:cs="Calibri"/>
          <w:b/>
          <w:bCs/>
          <w:sz w:val="21"/>
          <w:szCs w:val="21"/>
        </w:rPr>
        <w:t>Bảng 5 Dữ liệu để xây dựng hệ số tại địa phương</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500"/>
        <w:gridCol w:w="4536"/>
      </w:tblGrid>
      <w:tr w:rsidR="00D36F8C" w14:paraId="7348204F" w14:textId="77777777">
        <w:tblPrEx>
          <w:tblCellMar>
            <w:top w:w="0" w:type="dxa"/>
            <w:bottom w:w="0" w:type="dxa"/>
          </w:tblCellMar>
        </w:tblPrEx>
        <w:trPr>
          <w:cantSplit/>
          <w:tblHeader/>
        </w:trPr>
        <w:tc>
          <w:tcPr>
            <w:tcW w:w="19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0CAEC3E6" w14:textId="77777777" w:rsidR="00D36F8C" w:rsidRDefault="00000000">
            <w:pPr>
              <w:spacing w:after="0" w:line="240" w:lineRule="auto"/>
            </w:pPr>
            <w:r>
              <w:rPr>
                <w:b/>
                <w:bCs/>
                <w:sz w:val="18"/>
                <w:szCs w:val="18"/>
              </w:rPr>
              <w:t>Nhóm dữ liệu</w:t>
            </w:r>
          </w:p>
        </w:tc>
        <w:tc>
          <w:tcPr>
            <w:tcW w:w="35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279E0FA2" w14:textId="77777777" w:rsidR="00D36F8C" w:rsidRDefault="00000000">
            <w:pPr>
              <w:spacing w:after="0" w:line="240" w:lineRule="auto"/>
            </w:pPr>
            <w:r>
              <w:rPr>
                <w:b/>
                <w:bCs/>
                <w:sz w:val="18"/>
                <w:szCs w:val="18"/>
              </w:rPr>
              <w:t>Thông tin và đơn vị</w:t>
            </w:r>
          </w:p>
        </w:tc>
        <w:tc>
          <w:tcPr>
            <w:tcW w:w="45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75CA771A" w14:textId="77777777" w:rsidR="00D36F8C" w:rsidRDefault="00000000">
            <w:pPr>
              <w:spacing w:after="0" w:line="240" w:lineRule="auto"/>
            </w:pPr>
            <w:r>
              <w:rPr>
                <w:b/>
                <w:bCs/>
                <w:sz w:val="18"/>
                <w:szCs w:val="18"/>
              </w:rPr>
              <w:t>Bằng chứng và kiểm soát</w:t>
            </w:r>
          </w:p>
        </w:tc>
      </w:tr>
      <w:tr w:rsidR="00D36F8C" w14:paraId="49E638DA"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10C6286" w14:textId="77777777" w:rsidR="00D36F8C" w:rsidRDefault="00000000">
            <w:pPr>
              <w:spacing w:after="0" w:line="240" w:lineRule="auto"/>
            </w:pPr>
            <w:r>
              <w:rPr>
                <w:sz w:val="18"/>
                <w:szCs w:val="18"/>
              </w:rPr>
              <w:t>Bao bì và khối lượng</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32C70D7" w14:textId="77777777" w:rsidR="00D36F8C" w:rsidRDefault="00000000">
            <w:pPr>
              <w:spacing w:after="0" w:line="240" w:lineRule="auto"/>
            </w:pPr>
            <w:r>
              <w:rPr>
                <w:sz w:val="18"/>
                <w:szCs w:val="18"/>
              </w:rPr>
              <w:t>Loại hộp; giấy, nhựa, nhôm; tấn ướt và khô; tạp chất; tỷ lệ nhãn hàng</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AF1D0DC" w14:textId="77777777" w:rsidR="00D36F8C" w:rsidRDefault="00000000">
            <w:pPr>
              <w:spacing w:after="0" w:line="240" w:lineRule="auto"/>
            </w:pPr>
            <w:r>
              <w:rPr>
                <w:sz w:val="18"/>
                <w:szCs w:val="18"/>
              </w:rPr>
              <w:t>Thông số nhà cung cấp, phiếu cân, mẫu độ ẩm; kiểm toán nhãn theo quý; đối chiếu theo lô</w:t>
            </w:r>
          </w:p>
        </w:tc>
      </w:tr>
      <w:tr w:rsidR="00D36F8C" w14:paraId="65943C6C"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01FCE20" w14:textId="77777777" w:rsidR="00D36F8C" w:rsidRDefault="00000000">
            <w:pPr>
              <w:spacing w:after="0" w:line="240" w:lineRule="auto"/>
            </w:pPr>
            <w:r>
              <w:rPr>
                <w:sz w:val="18"/>
                <w:szCs w:val="18"/>
              </w:rPr>
              <w:t>Đối chứng</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336DAC" w14:textId="77777777" w:rsidR="00D36F8C" w:rsidRDefault="00000000">
            <w:pPr>
              <w:spacing w:after="0" w:line="240" w:lineRule="auto"/>
            </w:pPr>
            <w:r>
              <w:rPr>
                <w:sz w:val="18"/>
                <w:szCs w:val="18"/>
              </w:rPr>
              <w:t>Tỷ lệ chôn lấp, lò đốt, đốt hở, ve chai theo vùng; loại bãi; thu khí; lò đốt có phát điện</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3036DB2" w14:textId="77777777" w:rsidR="00D36F8C" w:rsidRDefault="00000000">
            <w:pPr>
              <w:spacing w:after="0" w:line="240" w:lineRule="auto"/>
            </w:pPr>
            <w:r>
              <w:rPr>
                <w:sz w:val="18"/>
                <w:szCs w:val="18"/>
              </w:rPr>
              <w:t>Khảo sát có lưu hồ sơ tại điểm thu gom, đơn vị vệ sinh môi trường, bãi và lò đốt</w:t>
            </w:r>
          </w:p>
        </w:tc>
      </w:tr>
      <w:tr w:rsidR="00D36F8C" w14:paraId="716011A6"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2DEF7B2" w14:textId="77777777" w:rsidR="00D36F8C" w:rsidRDefault="00000000">
            <w:pPr>
              <w:spacing w:after="0" w:line="240" w:lineRule="auto"/>
            </w:pPr>
            <w:r>
              <w:rPr>
                <w:sz w:val="18"/>
                <w:szCs w:val="18"/>
              </w:rPr>
              <w:t>Thu gom và vận chuyển</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ED10FD3" w14:textId="77777777" w:rsidR="00D36F8C" w:rsidRDefault="00000000">
            <w:pPr>
              <w:spacing w:after="0" w:line="240" w:lineRule="auto"/>
            </w:pPr>
            <w:r>
              <w:rPr>
                <w:sz w:val="18"/>
                <w:szCs w:val="18"/>
              </w:rPr>
              <w:t>Lít nhiên liệu; km; tải trọng và thể tích; chặng rỗng; phương thức</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558F947" w14:textId="77777777" w:rsidR="00D36F8C" w:rsidRDefault="00000000">
            <w:pPr>
              <w:spacing w:after="0" w:line="240" w:lineRule="auto"/>
            </w:pPr>
            <w:r>
              <w:rPr>
                <w:sz w:val="18"/>
                <w:szCs w:val="18"/>
              </w:rPr>
              <w:t>Nhật ký xe, hóa đơn, vận đơn; quy tắc phân bổ chuyến ghép</w:t>
            </w:r>
          </w:p>
        </w:tc>
      </w:tr>
      <w:tr w:rsidR="00D36F8C" w14:paraId="493797D0"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D920D10" w14:textId="77777777" w:rsidR="00D36F8C" w:rsidRDefault="00000000">
            <w:pPr>
              <w:spacing w:after="0" w:line="240" w:lineRule="auto"/>
            </w:pPr>
            <w:r>
              <w:rPr>
                <w:sz w:val="18"/>
                <w:szCs w:val="18"/>
              </w:rPr>
              <w:t>Nhà máy tái chế</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70BC6C0" w14:textId="77777777" w:rsidR="00D36F8C" w:rsidRDefault="00000000">
            <w:pPr>
              <w:spacing w:after="0" w:line="240" w:lineRule="auto"/>
            </w:pPr>
            <w:r>
              <w:rPr>
                <w:sz w:val="18"/>
                <w:szCs w:val="18"/>
              </w:rPr>
              <w:t>kWh, nhiên liệu lò hơi, nước, hóa chất; sản lượng theo tháng</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9D48678" w14:textId="77777777" w:rsidR="00D36F8C" w:rsidRDefault="00000000">
            <w:pPr>
              <w:spacing w:after="0" w:line="240" w:lineRule="auto"/>
            </w:pPr>
            <w:r>
              <w:rPr>
                <w:sz w:val="18"/>
                <w:szCs w:val="18"/>
              </w:rPr>
              <w:t>Đo trực tiếp hoặc phân bổ có giải trình</w:t>
            </w:r>
          </w:p>
        </w:tc>
      </w:tr>
      <w:tr w:rsidR="00D36F8C" w14:paraId="54CFF98E"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4C7E7D1" w14:textId="77777777" w:rsidR="00D36F8C" w:rsidRDefault="00000000">
            <w:pPr>
              <w:spacing w:after="0" w:line="240" w:lineRule="auto"/>
            </w:pPr>
            <w:r>
              <w:rPr>
                <w:sz w:val="18"/>
                <w:szCs w:val="18"/>
              </w:rPr>
              <w:lastRenderedPageBreak/>
              <w:t>Đầu ra và phần dư</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415344A" w14:textId="77777777" w:rsidR="00D36F8C" w:rsidRDefault="00000000">
            <w:pPr>
              <w:spacing w:after="0" w:line="240" w:lineRule="auto"/>
            </w:pPr>
            <w:r>
              <w:rPr>
                <w:sz w:val="18"/>
                <w:szCs w:val="18"/>
              </w:rPr>
              <w:t>Tấn sợi, PolyAl, sản phẩm, bùn và phần loại bỏ</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C83BBFF" w14:textId="77777777" w:rsidR="00D36F8C" w:rsidRDefault="00000000">
            <w:pPr>
              <w:spacing w:after="0" w:line="240" w:lineRule="auto"/>
            </w:pPr>
            <w:r>
              <w:rPr>
                <w:sz w:val="18"/>
                <w:szCs w:val="18"/>
              </w:rPr>
              <w:t>Cân bằng vật chất; hợp đồng, phiếu giao nhận; nơi xử lý phần dư</w:t>
            </w:r>
          </w:p>
        </w:tc>
      </w:tr>
      <w:tr w:rsidR="00D36F8C" w14:paraId="1E8B813A"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9A5A735" w14:textId="77777777" w:rsidR="00D36F8C" w:rsidRDefault="00000000">
            <w:pPr>
              <w:spacing w:after="0" w:line="240" w:lineRule="auto"/>
            </w:pPr>
            <w:r>
              <w:rPr>
                <w:sz w:val="18"/>
                <w:szCs w:val="18"/>
              </w:rPr>
              <w:t>Vật liệu được thay thế</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30C884C" w14:textId="77777777" w:rsidR="00D36F8C" w:rsidRDefault="00000000">
            <w:pPr>
              <w:spacing w:after="0" w:line="240" w:lineRule="auto"/>
            </w:pPr>
            <w:r>
              <w:rPr>
                <w:sz w:val="18"/>
                <w:szCs w:val="18"/>
              </w:rPr>
              <w:t>Loại vật liệu, công dụng, r</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2D5C8F7" w14:textId="77777777" w:rsidR="00D36F8C" w:rsidRDefault="00000000">
            <w:pPr>
              <w:spacing w:after="0" w:line="240" w:lineRule="auto"/>
            </w:pPr>
            <w:r>
              <w:rPr>
                <w:sz w:val="18"/>
                <w:szCs w:val="18"/>
              </w:rPr>
              <w:t>Người mua xác nhận vật liệu bị thay thế; kiểm tra tương đương</w:t>
            </w:r>
          </w:p>
        </w:tc>
      </w:tr>
      <w:tr w:rsidR="00D36F8C" w14:paraId="5DC94D7D"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8E94B36" w14:textId="77777777" w:rsidR="00D36F8C" w:rsidRDefault="00000000">
            <w:pPr>
              <w:spacing w:after="0" w:line="240" w:lineRule="auto"/>
            </w:pPr>
            <w:r>
              <w:rPr>
                <w:sz w:val="18"/>
                <w:szCs w:val="18"/>
              </w:rPr>
              <w:t>Hệ số</w:t>
            </w:r>
          </w:p>
        </w:tc>
        <w:tc>
          <w:tcPr>
            <w:tcW w:w="35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8F738D9" w14:textId="77777777" w:rsidR="00D36F8C" w:rsidRDefault="00000000">
            <w:pPr>
              <w:spacing w:after="0" w:line="240" w:lineRule="auto"/>
            </w:pPr>
            <w:r>
              <w:rPr>
                <w:sz w:val="18"/>
                <w:szCs w:val="18"/>
              </w:rPr>
              <w:t>EF theo năm, công nghệ; bộ GWP</w:t>
            </w:r>
          </w:p>
        </w:tc>
        <w:tc>
          <w:tcPr>
            <w:tcW w:w="45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F4CBBB2" w14:textId="77777777" w:rsidR="00D36F8C" w:rsidRDefault="00000000">
            <w:pPr>
              <w:spacing w:after="0" w:line="240" w:lineRule="auto"/>
            </w:pPr>
            <w:r>
              <w:rPr>
                <w:sz w:val="18"/>
                <w:szCs w:val="18"/>
              </w:rPr>
              <w:t>Tên cơ sở dữ liệu, phiên bản, ranh giới; lưu phiên bản bảng tính</w:t>
            </w:r>
          </w:p>
        </w:tc>
      </w:tr>
    </w:tbl>
    <w:p w14:paraId="0EAEAC99" w14:textId="77777777" w:rsidR="00D36F8C" w:rsidRDefault="00000000">
      <w:pPr>
        <w:pStyle w:val="Heading1"/>
      </w:pPr>
      <w:r>
        <w:t>7 Kết quả minh họa</w:t>
      </w:r>
    </w:p>
    <w:p w14:paraId="5E202A8B" w14:textId="77777777" w:rsidR="00D36F8C" w:rsidRDefault="00000000">
      <w:pPr>
        <w:jc w:val="both"/>
      </w:pPr>
      <w:r>
        <w:t>Mục này dùng tham số ở Bảng 3, Bảng 4 và tám lô thu gom ví dụ (148 tấn khô). Kết quả kiểm tra logic và độ lớn, không phải kết quả đo của chương trình. Bảng tính kèm theo (Bang_tinh_CO2e_vo_hop_sua_GreenU.xlsx) tái lập toàn bộ phép tính.</w:t>
      </w:r>
    </w:p>
    <w:p w14:paraId="130D02D8" w14:textId="77777777" w:rsidR="00D36F8C" w:rsidRDefault="00000000">
      <w:pPr>
        <w:pStyle w:val="Heading2"/>
      </w:pPr>
      <w:r>
        <w:t>7.1 Trường hợp chuẩn: đối chứng chỉ gồm chôn lấp và đốt hở</w:t>
      </w:r>
    </w:p>
    <w:p w14:paraId="7532E4F8" w14:textId="77777777" w:rsidR="00D36F8C" w:rsidRDefault="00000000">
      <w:pPr>
        <w:jc w:val="both"/>
      </w:pPr>
      <w:r>
        <w:t>Với đối chứng 85% chôn lấp, 15% đốt hở và không tính vận chuyển đường dài, ER là 0,61 / 2,10 / 3,32 tCO₂e/tấn khô theo ba kịch bản. EF</w:t>
      </w:r>
      <w:r>
        <w:rPr>
          <w:vertAlign w:val="subscript"/>
        </w:rPr>
        <w:t>LF</w:t>
      </w:r>
      <w:r>
        <w:t xml:space="preserve"> bằng 1,19 / 2,38 / 2,97 tCO₂e/tấn. Phần ER đến từ G</w:t>
      </w:r>
      <w:r>
        <w:rPr>
          <w:vertAlign w:val="subscript"/>
        </w:rPr>
        <w:t>B</w:t>
      </w:r>
      <w:r>
        <w:t xml:space="preserve"> là 166% / 100% / 82%. Ở kịch bản thấp, chuỗi tái chế phát thải ròng dương (G</w:t>
      </w:r>
      <w:r>
        <w:rPr>
          <w:vertAlign w:val="subscript"/>
        </w:rPr>
        <w:t>P</w:t>
      </w:r>
      <w:r>
        <w:t xml:space="preserve"> = 0,40) nhưng vẫn có lợi vì đối chứng nặng hơn. Áp dụng cho lô 81 tấn khô ở bản trước, ER là 49 / 170 / 269 tCO₂e, thay cho 60,75 tCO₂e với giả định G</w:t>
      </w:r>
      <w:r>
        <w:rPr>
          <w:vertAlign w:val="subscript"/>
        </w:rPr>
        <w:t>B</w:t>
      </w:r>
      <w:r>
        <w:t xml:space="preserve"> = 0,80.</w:t>
      </w:r>
    </w:p>
    <w:p w14:paraId="3C86E964" w14:textId="77777777" w:rsidR="00D36F8C" w:rsidRDefault="00000000">
      <w:pPr>
        <w:pStyle w:val="Heading2"/>
      </w:pPr>
      <w:r>
        <w:t>7.2 Bốn điểm thu gom, tái chế tại TP. Hồ Chí Minh</w:t>
      </w:r>
    </w:p>
    <w:p w14:paraId="1EB47F5E" w14:textId="77777777" w:rsidR="00D36F8C" w:rsidRDefault="00000000">
      <w:pPr>
        <w:keepNext/>
        <w:spacing w:before="160" w:after="80"/>
      </w:pPr>
      <w:r>
        <w:rPr>
          <w:rFonts w:ascii="Calibri" w:eastAsia="Calibri" w:hAnsi="Calibri" w:cs="Calibri"/>
          <w:b/>
          <w:bCs/>
          <w:sz w:val="21"/>
          <w:szCs w:val="21"/>
        </w:rPr>
        <w:t>Bảng 6 Kết quả trên 1 tấn khô theo điểm thu gom</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36"/>
        <w:gridCol w:w="1700"/>
        <w:gridCol w:w="1700"/>
        <w:gridCol w:w="1700"/>
        <w:gridCol w:w="1700"/>
      </w:tblGrid>
      <w:tr w:rsidR="00D36F8C" w14:paraId="7D670817" w14:textId="77777777">
        <w:tblPrEx>
          <w:tblCellMar>
            <w:top w:w="0" w:type="dxa"/>
            <w:bottom w:w="0" w:type="dxa"/>
          </w:tblCellMar>
        </w:tblPrEx>
        <w:trPr>
          <w:cantSplit/>
          <w:tblHeader/>
        </w:trPr>
        <w:tc>
          <w:tcPr>
            <w:tcW w:w="31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0D86EB0E" w14:textId="77777777" w:rsidR="00D36F8C" w:rsidRDefault="00000000">
            <w:pPr>
              <w:spacing w:after="0" w:line="240" w:lineRule="auto"/>
            </w:pPr>
            <w:r>
              <w:rPr>
                <w:b/>
                <w:bCs/>
                <w:sz w:val="18"/>
                <w:szCs w:val="18"/>
              </w:rPr>
              <w:t>tCO₂e/tấn khô</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0BF42A84" w14:textId="77777777" w:rsidR="00D36F8C" w:rsidRDefault="00000000">
            <w:pPr>
              <w:spacing w:after="0" w:line="240" w:lineRule="auto"/>
            </w:pPr>
            <w:r>
              <w:rPr>
                <w:b/>
                <w:bCs/>
                <w:sz w:val="18"/>
                <w:szCs w:val="18"/>
              </w:rPr>
              <w:t>Hà Nội</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310FC6CC" w14:textId="77777777" w:rsidR="00D36F8C" w:rsidRDefault="00000000">
            <w:pPr>
              <w:spacing w:after="0" w:line="240" w:lineRule="auto"/>
            </w:pPr>
            <w:r>
              <w:rPr>
                <w:b/>
                <w:bCs/>
                <w:sz w:val="18"/>
                <w:szCs w:val="18"/>
              </w:rPr>
              <w:t>Đà Nẵng</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54A4678" w14:textId="77777777" w:rsidR="00D36F8C" w:rsidRDefault="00000000">
            <w:pPr>
              <w:spacing w:after="0" w:line="240" w:lineRule="auto"/>
            </w:pPr>
            <w:r>
              <w:rPr>
                <w:b/>
                <w:bCs/>
                <w:sz w:val="18"/>
                <w:szCs w:val="18"/>
              </w:rPr>
              <w:t>Quảng Ninh</w:t>
            </w:r>
          </w:p>
        </w:tc>
        <w:tc>
          <w:tcPr>
            <w:tcW w:w="17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D7E3293" w14:textId="77777777" w:rsidR="00D36F8C" w:rsidRDefault="00000000">
            <w:pPr>
              <w:spacing w:after="0" w:line="240" w:lineRule="auto"/>
            </w:pPr>
            <w:r>
              <w:rPr>
                <w:b/>
                <w:bCs/>
                <w:sz w:val="18"/>
                <w:szCs w:val="18"/>
              </w:rPr>
              <w:t>TP. Hồ Chí Minh</w:t>
            </w:r>
          </w:p>
        </w:tc>
      </w:tr>
      <w:tr w:rsidR="00D36F8C" w14:paraId="35204B04"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4AE60A0" w14:textId="77777777" w:rsidR="00D36F8C" w:rsidRDefault="00000000">
            <w:pPr>
              <w:spacing w:after="0" w:line="240" w:lineRule="auto"/>
            </w:pPr>
            <w:r>
              <w:rPr>
                <w:sz w:val="18"/>
                <w:szCs w:val="18"/>
              </w:rPr>
              <w:t>Sổ B: ER Thấp / Trung tâm / Cao</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0BDC725" w14:textId="77777777" w:rsidR="00D36F8C" w:rsidRDefault="00000000">
            <w:pPr>
              <w:spacing w:after="0" w:line="240" w:lineRule="auto"/>
            </w:pPr>
            <w:r>
              <w:rPr>
                <w:sz w:val="18"/>
                <w:szCs w:val="18"/>
              </w:rPr>
              <w:t>−0,31 / 0,34 / 1,08</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B8DBB5E" w14:textId="77777777" w:rsidR="00D36F8C" w:rsidRDefault="00000000">
            <w:pPr>
              <w:spacing w:after="0" w:line="240" w:lineRule="auto"/>
            </w:pPr>
            <w:r>
              <w:rPr>
                <w:sz w:val="18"/>
                <w:szCs w:val="18"/>
              </w:rPr>
              <w:t>1,10 / 2,13 / 3,28</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759F8B0" w14:textId="77777777" w:rsidR="00D36F8C" w:rsidRDefault="00000000">
            <w:pPr>
              <w:spacing w:after="0" w:line="240" w:lineRule="auto"/>
            </w:pPr>
            <w:r>
              <w:rPr>
                <w:sz w:val="18"/>
                <w:szCs w:val="18"/>
              </w:rPr>
              <w:t>0,06 / 0,78 / 1,58</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1A6553A" w14:textId="77777777" w:rsidR="00D36F8C" w:rsidRDefault="00000000">
            <w:pPr>
              <w:spacing w:after="0" w:line="240" w:lineRule="auto"/>
            </w:pPr>
            <w:r>
              <w:rPr>
                <w:sz w:val="18"/>
                <w:szCs w:val="18"/>
              </w:rPr>
              <w:t>1,05 / 1,98 / 3,06</w:t>
            </w:r>
          </w:p>
        </w:tc>
      </w:tr>
      <w:tr w:rsidR="00D36F8C" w14:paraId="4D68C815" w14:textId="77777777">
        <w:tblPrEx>
          <w:tblCellMar>
            <w:top w:w="0" w:type="dxa"/>
            <w:bottom w:w="0" w:type="dxa"/>
          </w:tblCellMar>
        </w:tblPrEx>
        <w:trPr>
          <w:cantSplit/>
        </w:trPr>
        <w:tc>
          <w:tcPr>
            <w:tcW w:w="3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2EAB417" w14:textId="77777777" w:rsidR="00D36F8C" w:rsidRDefault="00000000">
            <w:pPr>
              <w:spacing w:after="0" w:line="240" w:lineRule="auto"/>
            </w:pPr>
            <w:r>
              <w:rPr>
                <w:sz w:val="18"/>
                <w:szCs w:val="18"/>
              </w:rPr>
              <w:t>Sổ A: EF</w:t>
            </w:r>
            <w:r>
              <w:rPr>
                <w:sz w:val="18"/>
                <w:szCs w:val="18"/>
                <w:vertAlign w:val="subscript"/>
              </w:rPr>
              <w:t>disp</w:t>
            </w:r>
            <w:r>
              <w:rPr>
                <w:sz w:val="18"/>
                <w:szCs w:val="18"/>
              </w:rPr>
              <w:t xml:space="preserve"> − EF</w:t>
            </w:r>
            <w:r>
              <w:rPr>
                <w:sz w:val="18"/>
                <w:szCs w:val="18"/>
                <w:vertAlign w:val="subscript"/>
              </w:rPr>
              <w:t>rec</w:t>
            </w:r>
            <w:r>
              <w:rPr>
                <w:sz w:val="18"/>
                <w:szCs w:val="18"/>
              </w:rPr>
              <w:t xml:space="preserve"> (Thấp / Trung tâm / Cao)</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10BB5D0" w14:textId="77777777" w:rsidR="00D36F8C" w:rsidRDefault="00000000">
            <w:pPr>
              <w:spacing w:after="0" w:line="240" w:lineRule="auto"/>
            </w:pPr>
            <w:r>
              <w:rPr>
                <w:sz w:val="18"/>
                <w:szCs w:val="18"/>
              </w:rPr>
              <w:t>0,61 / 0,83 / 0,99</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94AD622" w14:textId="77777777" w:rsidR="00D36F8C" w:rsidRDefault="00000000">
            <w:pPr>
              <w:spacing w:after="0" w:line="240" w:lineRule="auto"/>
            </w:pPr>
            <w:r>
              <w:rPr>
                <w:sz w:val="18"/>
                <w:szCs w:val="18"/>
              </w:rPr>
              <w:t>1,51 / 2,11 / 2,67</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705D401" w14:textId="77777777" w:rsidR="00D36F8C" w:rsidRDefault="00000000">
            <w:pPr>
              <w:spacing w:after="0" w:line="240" w:lineRule="auto"/>
            </w:pPr>
            <w:r>
              <w:rPr>
                <w:sz w:val="18"/>
                <w:szCs w:val="18"/>
              </w:rPr>
              <w:t>0,46 / 0,75 / 0,97</w:t>
            </w:r>
          </w:p>
        </w:tc>
        <w:tc>
          <w:tcPr>
            <w:tcW w:w="17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5A31BA8" w14:textId="77777777" w:rsidR="00D36F8C" w:rsidRDefault="00000000">
            <w:pPr>
              <w:spacing w:after="0" w:line="240" w:lineRule="auto"/>
            </w:pPr>
            <w:r>
              <w:rPr>
                <w:sz w:val="18"/>
                <w:szCs w:val="18"/>
              </w:rPr>
              <w:t>1,54 / 2,04 / 2,53</w:t>
            </w:r>
          </w:p>
        </w:tc>
      </w:tr>
    </w:tbl>
    <w:p w14:paraId="47D0B57B" w14:textId="77777777" w:rsidR="00D36F8C" w:rsidRDefault="00000000">
      <w:pPr>
        <w:spacing w:before="60" w:after="160"/>
      </w:pPr>
      <w:r>
        <w:rPr>
          <w:i/>
          <w:iCs/>
          <w:sz w:val="19"/>
          <w:szCs w:val="19"/>
        </w:rPr>
        <w:t>Sổ B tính trên tấn M_add; Sổ A tính trên tấn vỏ hộp của nhãn hàng được tái chế thêm.</w:t>
      </w:r>
    </w:p>
    <w:p w14:paraId="2CCF0015" w14:textId="77777777" w:rsidR="00D36F8C" w:rsidRDefault="00000000">
      <w:pPr>
        <w:keepNext/>
        <w:spacing w:before="160" w:after="80"/>
      </w:pPr>
      <w:r>
        <w:rPr>
          <w:rFonts w:ascii="Calibri" w:eastAsia="Calibri" w:hAnsi="Calibri" w:cs="Calibri"/>
          <w:b/>
          <w:bCs/>
          <w:sz w:val="21"/>
          <w:szCs w:val="21"/>
        </w:rPr>
        <w:t>Bảng 7 Cấu phần trên 1 tấn khô, kịch bản Trung tâm (tCO₂e/tấn)</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6"/>
        <w:gridCol w:w="800"/>
        <w:gridCol w:w="800"/>
        <w:gridCol w:w="800"/>
        <w:gridCol w:w="800"/>
        <w:gridCol w:w="800"/>
        <w:gridCol w:w="800"/>
        <w:gridCol w:w="1100"/>
        <w:gridCol w:w="800"/>
        <w:gridCol w:w="1300"/>
      </w:tblGrid>
      <w:tr w:rsidR="00D36F8C" w14:paraId="2FB6FFE6" w14:textId="77777777">
        <w:tblPrEx>
          <w:tblCellMar>
            <w:top w:w="0" w:type="dxa"/>
            <w:bottom w:w="0" w:type="dxa"/>
          </w:tblCellMar>
        </w:tblPrEx>
        <w:trPr>
          <w:cantSplit/>
          <w:tblHeader/>
        </w:trPr>
        <w:tc>
          <w:tcPr>
            <w:tcW w:w="19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1C42FBA6" w14:textId="77777777" w:rsidR="00D36F8C" w:rsidRDefault="00000000">
            <w:pPr>
              <w:spacing w:after="0" w:line="240" w:lineRule="auto"/>
            </w:pPr>
            <w:r>
              <w:rPr>
                <w:b/>
                <w:bCs/>
                <w:sz w:val="18"/>
                <w:szCs w:val="18"/>
              </w:rPr>
              <w:t>Điểm thu gom</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50BCD6DC" w14:textId="77777777" w:rsidR="00D36F8C" w:rsidRDefault="00000000">
            <w:pPr>
              <w:spacing w:after="0" w:line="240" w:lineRule="auto"/>
            </w:pPr>
            <w:r>
              <w:rPr>
                <w:b/>
                <w:bCs/>
                <w:sz w:val="18"/>
                <w:szCs w:val="18"/>
              </w:rPr>
              <w:t>G</w:t>
            </w:r>
            <w:r>
              <w:rPr>
                <w:b/>
                <w:bCs/>
                <w:sz w:val="18"/>
                <w:szCs w:val="18"/>
                <w:vertAlign w:val="subscript"/>
              </w:rPr>
              <w:t>B</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778BA1AA" w14:textId="77777777" w:rsidR="00D36F8C" w:rsidRDefault="00000000">
            <w:pPr>
              <w:spacing w:after="0" w:line="240" w:lineRule="auto"/>
            </w:pPr>
            <w:r>
              <w:rPr>
                <w:b/>
                <w:bCs/>
                <w:sz w:val="18"/>
                <w:szCs w:val="18"/>
              </w:rPr>
              <w:t>O</w:t>
            </w:r>
            <w:r>
              <w:rPr>
                <w:b/>
                <w:bCs/>
                <w:sz w:val="18"/>
                <w:szCs w:val="18"/>
                <w:vertAlign w:val="subscript"/>
              </w:rPr>
              <w:t>col</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2C5FE9A" w14:textId="77777777" w:rsidR="00D36F8C" w:rsidRDefault="00000000">
            <w:pPr>
              <w:spacing w:after="0" w:line="240" w:lineRule="auto"/>
            </w:pPr>
            <w:r>
              <w:rPr>
                <w:b/>
                <w:bCs/>
                <w:sz w:val="18"/>
                <w:szCs w:val="18"/>
              </w:rPr>
              <w:t>O</w:t>
            </w:r>
            <w:r>
              <w:rPr>
                <w:b/>
                <w:bCs/>
                <w:sz w:val="18"/>
                <w:szCs w:val="18"/>
                <w:vertAlign w:val="subscript"/>
              </w:rPr>
              <w:t>sort</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0C53FEC" w14:textId="77777777" w:rsidR="00D36F8C" w:rsidRDefault="00000000">
            <w:pPr>
              <w:spacing w:after="0" w:line="240" w:lineRule="auto"/>
            </w:pPr>
            <w:r>
              <w:rPr>
                <w:b/>
                <w:bCs/>
                <w:sz w:val="18"/>
                <w:szCs w:val="18"/>
              </w:rPr>
              <w:t>O</w:t>
            </w:r>
            <w:r>
              <w:rPr>
                <w:b/>
                <w:bCs/>
                <w:sz w:val="18"/>
                <w:szCs w:val="18"/>
                <w:vertAlign w:val="subscript"/>
              </w:rPr>
              <w:t>haul</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6A3222BD" w14:textId="77777777" w:rsidR="00D36F8C" w:rsidRDefault="00000000">
            <w:pPr>
              <w:spacing w:after="0" w:line="240" w:lineRule="auto"/>
            </w:pPr>
            <w:r>
              <w:rPr>
                <w:b/>
                <w:bCs/>
                <w:sz w:val="18"/>
                <w:szCs w:val="18"/>
              </w:rPr>
              <w:t>O</w:t>
            </w:r>
            <w:r>
              <w:rPr>
                <w:b/>
                <w:bCs/>
                <w:sz w:val="18"/>
                <w:szCs w:val="18"/>
                <w:vertAlign w:val="subscript"/>
              </w:rPr>
              <w:t>rec</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206B9CFB" w14:textId="77777777" w:rsidR="00D36F8C" w:rsidRDefault="00000000">
            <w:pPr>
              <w:spacing w:after="0" w:line="240" w:lineRule="auto"/>
            </w:pPr>
            <w:r>
              <w:rPr>
                <w:b/>
                <w:bCs/>
                <w:sz w:val="18"/>
                <w:szCs w:val="18"/>
              </w:rPr>
              <w:t>O</w:t>
            </w:r>
            <w:r>
              <w:rPr>
                <w:b/>
                <w:bCs/>
                <w:sz w:val="18"/>
                <w:szCs w:val="18"/>
                <w:vertAlign w:val="subscript"/>
              </w:rPr>
              <w:t>res</w:t>
            </w:r>
          </w:p>
        </w:tc>
        <w:tc>
          <w:tcPr>
            <w:tcW w:w="11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5B72075F" w14:textId="77777777" w:rsidR="00D36F8C" w:rsidRDefault="00000000">
            <w:pPr>
              <w:spacing w:after="0" w:line="240" w:lineRule="auto"/>
            </w:pPr>
            <w:r>
              <w:rPr>
                <w:b/>
                <w:bCs/>
                <w:sz w:val="18"/>
                <w:szCs w:val="18"/>
              </w:rPr>
              <w:t>C</w:t>
            </w:r>
            <w:r>
              <w:rPr>
                <w:b/>
                <w:bCs/>
                <w:sz w:val="18"/>
                <w:szCs w:val="18"/>
                <w:vertAlign w:val="subscript"/>
              </w:rPr>
              <w:t>fib</w:t>
            </w:r>
            <w:r>
              <w:rPr>
                <w:b/>
                <w:bCs/>
                <w:sz w:val="18"/>
                <w:szCs w:val="18"/>
              </w:rPr>
              <w:t xml:space="preserve"> + C</w:t>
            </w:r>
            <w:r>
              <w:rPr>
                <w:b/>
                <w:bCs/>
                <w:sz w:val="18"/>
                <w:szCs w:val="18"/>
                <w:vertAlign w:val="subscript"/>
              </w:rPr>
              <w:t>PA</w:t>
            </w:r>
          </w:p>
        </w:tc>
        <w:tc>
          <w:tcPr>
            <w:tcW w:w="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4091BE93" w14:textId="77777777" w:rsidR="00D36F8C" w:rsidRDefault="00000000">
            <w:pPr>
              <w:spacing w:after="0" w:line="240" w:lineRule="auto"/>
            </w:pPr>
            <w:r>
              <w:rPr>
                <w:b/>
                <w:bCs/>
                <w:sz w:val="18"/>
                <w:szCs w:val="18"/>
              </w:rPr>
              <w:t>G</w:t>
            </w:r>
            <w:r>
              <w:rPr>
                <w:b/>
                <w:bCs/>
                <w:sz w:val="18"/>
                <w:szCs w:val="18"/>
                <w:vertAlign w:val="subscript"/>
              </w:rPr>
              <w:t>P</w:t>
            </w:r>
          </w:p>
        </w:tc>
        <w:tc>
          <w:tcPr>
            <w:tcW w:w="13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3248D8EE" w14:textId="77777777" w:rsidR="00D36F8C" w:rsidRDefault="00000000">
            <w:pPr>
              <w:spacing w:after="0" w:line="240" w:lineRule="auto"/>
            </w:pPr>
            <w:r>
              <w:rPr>
                <w:b/>
                <w:bCs/>
                <w:sz w:val="18"/>
                <w:szCs w:val="18"/>
              </w:rPr>
              <w:t>ER</w:t>
            </w:r>
          </w:p>
        </w:tc>
      </w:tr>
      <w:tr w:rsidR="00D36F8C" w14:paraId="0EF770B6" w14:textId="77777777">
        <w:tblPrEx>
          <w:tblCellMar>
            <w:top w:w="0" w:type="dxa"/>
            <w:bottom w:w="0" w:type="dxa"/>
          </w:tblCellMar>
        </w:tblPrEx>
        <w:trPr>
          <w:cantSplit/>
        </w:trPr>
        <w:tc>
          <w:tcPr>
            <w:tcW w:w="19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A83E171" w14:textId="77777777" w:rsidR="00D36F8C" w:rsidRDefault="00000000">
            <w:pPr>
              <w:spacing w:after="0" w:line="240" w:lineRule="auto"/>
            </w:pPr>
            <w:r>
              <w:rPr>
                <w:sz w:val="18"/>
                <w:szCs w:val="18"/>
              </w:rPr>
              <w:t>Hà Nội</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06C5915" w14:textId="77777777" w:rsidR="00D36F8C" w:rsidRDefault="00000000">
            <w:pPr>
              <w:spacing w:after="0" w:line="240" w:lineRule="auto"/>
            </w:pPr>
            <w:r>
              <w:rPr>
                <w:sz w:val="18"/>
                <w:szCs w:val="18"/>
              </w:rPr>
              <w:t>0,570</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7A25AD6" w14:textId="77777777" w:rsidR="00D36F8C" w:rsidRDefault="00000000">
            <w:pPr>
              <w:spacing w:after="0" w:line="240" w:lineRule="auto"/>
            </w:pPr>
            <w:r>
              <w:rPr>
                <w:sz w:val="18"/>
                <w:szCs w:val="18"/>
              </w:rPr>
              <w:t>0,049</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A83A646" w14:textId="77777777" w:rsidR="00D36F8C" w:rsidRDefault="00000000">
            <w:pPr>
              <w:spacing w:after="0" w:line="240" w:lineRule="auto"/>
            </w:pPr>
            <w:r>
              <w:rPr>
                <w:sz w:val="18"/>
                <w:szCs w:val="18"/>
              </w:rPr>
              <w:t>0,020</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78E9FCD" w14:textId="77777777" w:rsidR="00D36F8C" w:rsidRDefault="00000000">
            <w:pPr>
              <w:spacing w:after="0" w:line="240" w:lineRule="auto"/>
            </w:pPr>
            <w:r>
              <w:rPr>
                <w:sz w:val="18"/>
                <w:szCs w:val="18"/>
              </w:rPr>
              <w:t>0,206</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595432F" w14:textId="77777777" w:rsidR="00D36F8C" w:rsidRDefault="00000000">
            <w:pPr>
              <w:spacing w:after="0" w:line="240" w:lineRule="auto"/>
            </w:pPr>
            <w:r>
              <w:rPr>
                <w:sz w:val="18"/>
                <w:szCs w:val="18"/>
              </w:rPr>
              <w:t>0,162</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A3F0F08" w14:textId="77777777" w:rsidR="00D36F8C" w:rsidRDefault="00000000">
            <w:pPr>
              <w:spacing w:after="0" w:line="240" w:lineRule="auto"/>
            </w:pPr>
            <w:r>
              <w:rPr>
                <w:sz w:val="18"/>
                <w:szCs w:val="18"/>
              </w:rPr>
              <w:t>0,119</w:t>
            </w:r>
          </w:p>
        </w:tc>
        <w:tc>
          <w:tcPr>
            <w:tcW w:w="11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0307F25" w14:textId="77777777" w:rsidR="00D36F8C" w:rsidRDefault="00000000">
            <w:pPr>
              <w:spacing w:after="0" w:line="240" w:lineRule="auto"/>
            </w:pPr>
            <w:r>
              <w:rPr>
                <w:sz w:val="18"/>
                <w:szCs w:val="18"/>
              </w:rPr>
              <w:t>0,326</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F8A9519" w14:textId="77777777" w:rsidR="00D36F8C" w:rsidRDefault="00000000">
            <w:pPr>
              <w:spacing w:after="0" w:line="240" w:lineRule="auto"/>
            </w:pPr>
            <w:r>
              <w:rPr>
                <w:sz w:val="18"/>
                <w:szCs w:val="18"/>
              </w:rPr>
              <w:t>0,230</w:t>
            </w:r>
          </w:p>
        </w:tc>
        <w:tc>
          <w:tcPr>
            <w:tcW w:w="13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2868DB6" w14:textId="77777777" w:rsidR="00D36F8C" w:rsidRDefault="00000000">
            <w:pPr>
              <w:spacing w:after="0" w:line="240" w:lineRule="auto"/>
            </w:pPr>
            <w:r>
              <w:rPr>
                <w:sz w:val="18"/>
                <w:szCs w:val="18"/>
              </w:rPr>
              <w:t>0,340</w:t>
            </w:r>
          </w:p>
        </w:tc>
      </w:tr>
      <w:tr w:rsidR="00D36F8C" w14:paraId="0948CF8B" w14:textId="77777777">
        <w:tblPrEx>
          <w:tblCellMar>
            <w:top w:w="0" w:type="dxa"/>
            <w:bottom w:w="0" w:type="dxa"/>
          </w:tblCellMar>
        </w:tblPrEx>
        <w:trPr>
          <w:cantSplit/>
        </w:trPr>
        <w:tc>
          <w:tcPr>
            <w:tcW w:w="19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5ABB7AE" w14:textId="77777777" w:rsidR="00D36F8C" w:rsidRDefault="00000000">
            <w:pPr>
              <w:spacing w:after="0" w:line="240" w:lineRule="auto"/>
            </w:pPr>
            <w:r>
              <w:rPr>
                <w:sz w:val="18"/>
                <w:szCs w:val="18"/>
              </w:rPr>
              <w:t>Đà Nẵng</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7B26593" w14:textId="77777777" w:rsidR="00D36F8C" w:rsidRDefault="00000000">
            <w:pPr>
              <w:spacing w:after="0" w:line="240" w:lineRule="auto"/>
            </w:pPr>
            <w:r>
              <w:rPr>
                <w:sz w:val="18"/>
                <w:szCs w:val="18"/>
              </w:rPr>
              <w:t>2,282</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1EFB0AA" w14:textId="77777777" w:rsidR="00D36F8C" w:rsidRDefault="00000000">
            <w:pPr>
              <w:spacing w:after="0" w:line="240" w:lineRule="auto"/>
            </w:pPr>
            <w:r>
              <w:rPr>
                <w:sz w:val="18"/>
                <w:szCs w:val="18"/>
              </w:rPr>
              <w:t>0,059</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35931B1" w14:textId="77777777" w:rsidR="00D36F8C" w:rsidRDefault="00000000">
            <w:pPr>
              <w:spacing w:after="0" w:line="240" w:lineRule="auto"/>
            </w:pPr>
            <w:r>
              <w:rPr>
                <w:sz w:val="18"/>
                <w:szCs w:val="18"/>
              </w:rPr>
              <w:t>0,020</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FD4152A" w14:textId="77777777" w:rsidR="00D36F8C" w:rsidRDefault="00000000">
            <w:pPr>
              <w:spacing w:after="0" w:line="240" w:lineRule="auto"/>
            </w:pPr>
            <w:r>
              <w:rPr>
                <w:sz w:val="18"/>
                <w:szCs w:val="18"/>
              </w:rPr>
              <w:t>0,117</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63CB922" w14:textId="77777777" w:rsidR="00D36F8C" w:rsidRDefault="00000000">
            <w:pPr>
              <w:spacing w:after="0" w:line="240" w:lineRule="auto"/>
            </w:pPr>
            <w:r>
              <w:rPr>
                <w:sz w:val="18"/>
                <w:szCs w:val="18"/>
              </w:rPr>
              <w:t>0,162</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2973521" w14:textId="77777777" w:rsidR="00D36F8C" w:rsidRDefault="00000000">
            <w:pPr>
              <w:spacing w:after="0" w:line="240" w:lineRule="auto"/>
            </w:pPr>
            <w:r>
              <w:rPr>
                <w:sz w:val="18"/>
                <w:szCs w:val="18"/>
              </w:rPr>
              <w:t>0,119</w:t>
            </w:r>
          </w:p>
        </w:tc>
        <w:tc>
          <w:tcPr>
            <w:tcW w:w="11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DDDFC7E" w14:textId="77777777" w:rsidR="00D36F8C" w:rsidRDefault="00000000">
            <w:pPr>
              <w:spacing w:after="0" w:line="240" w:lineRule="auto"/>
            </w:pPr>
            <w:r>
              <w:rPr>
                <w:sz w:val="18"/>
                <w:szCs w:val="18"/>
              </w:rPr>
              <w:t>0,326</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82C4EE1" w14:textId="77777777" w:rsidR="00D36F8C" w:rsidRDefault="00000000">
            <w:pPr>
              <w:spacing w:after="0" w:line="240" w:lineRule="auto"/>
            </w:pPr>
            <w:r>
              <w:rPr>
                <w:sz w:val="18"/>
                <w:szCs w:val="18"/>
              </w:rPr>
              <w:t>0,151</w:t>
            </w:r>
          </w:p>
        </w:tc>
        <w:tc>
          <w:tcPr>
            <w:tcW w:w="13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6DAF72A" w14:textId="77777777" w:rsidR="00D36F8C" w:rsidRDefault="00000000">
            <w:pPr>
              <w:spacing w:after="0" w:line="240" w:lineRule="auto"/>
            </w:pPr>
            <w:r>
              <w:rPr>
                <w:sz w:val="18"/>
                <w:szCs w:val="18"/>
              </w:rPr>
              <w:t>2,130</w:t>
            </w:r>
          </w:p>
        </w:tc>
      </w:tr>
      <w:tr w:rsidR="00D36F8C" w14:paraId="4DBF0ED9" w14:textId="77777777">
        <w:tblPrEx>
          <w:tblCellMar>
            <w:top w:w="0" w:type="dxa"/>
            <w:bottom w:w="0" w:type="dxa"/>
          </w:tblCellMar>
        </w:tblPrEx>
        <w:trPr>
          <w:cantSplit/>
        </w:trPr>
        <w:tc>
          <w:tcPr>
            <w:tcW w:w="19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94EAD56" w14:textId="77777777" w:rsidR="00D36F8C" w:rsidRDefault="00000000">
            <w:pPr>
              <w:spacing w:after="0" w:line="240" w:lineRule="auto"/>
            </w:pPr>
            <w:r>
              <w:rPr>
                <w:sz w:val="18"/>
                <w:szCs w:val="18"/>
              </w:rPr>
              <w:t>Quảng Ninh</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A5C8BAA" w14:textId="77777777" w:rsidR="00D36F8C" w:rsidRDefault="00000000">
            <w:pPr>
              <w:spacing w:after="0" w:line="240" w:lineRule="auto"/>
            </w:pPr>
            <w:r>
              <w:rPr>
                <w:sz w:val="18"/>
                <w:szCs w:val="18"/>
              </w:rPr>
              <w:t>1,051</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B66E746" w14:textId="77777777" w:rsidR="00D36F8C" w:rsidRDefault="00000000">
            <w:pPr>
              <w:spacing w:after="0" w:line="240" w:lineRule="auto"/>
            </w:pPr>
            <w:r>
              <w:rPr>
                <w:sz w:val="18"/>
                <w:szCs w:val="18"/>
              </w:rPr>
              <w:t>0,078</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5C36590" w14:textId="77777777" w:rsidR="00D36F8C" w:rsidRDefault="00000000">
            <w:pPr>
              <w:spacing w:after="0" w:line="240" w:lineRule="auto"/>
            </w:pPr>
            <w:r>
              <w:rPr>
                <w:sz w:val="18"/>
                <w:szCs w:val="18"/>
              </w:rPr>
              <w:t>0,020</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41C05D4" w14:textId="77777777" w:rsidR="00D36F8C" w:rsidRDefault="00000000">
            <w:pPr>
              <w:spacing w:after="0" w:line="240" w:lineRule="auto"/>
            </w:pPr>
            <w:r>
              <w:rPr>
                <w:sz w:val="18"/>
                <w:szCs w:val="18"/>
              </w:rPr>
              <w:t>0,223</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218588D" w14:textId="77777777" w:rsidR="00D36F8C" w:rsidRDefault="00000000">
            <w:pPr>
              <w:spacing w:after="0" w:line="240" w:lineRule="auto"/>
            </w:pPr>
            <w:r>
              <w:rPr>
                <w:sz w:val="18"/>
                <w:szCs w:val="18"/>
              </w:rPr>
              <w:t>0,162</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B09FE73" w14:textId="77777777" w:rsidR="00D36F8C" w:rsidRDefault="00000000">
            <w:pPr>
              <w:spacing w:after="0" w:line="240" w:lineRule="auto"/>
            </w:pPr>
            <w:r>
              <w:rPr>
                <w:sz w:val="18"/>
                <w:szCs w:val="18"/>
              </w:rPr>
              <w:t>0,119</w:t>
            </w:r>
          </w:p>
        </w:tc>
        <w:tc>
          <w:tcPr>
            <w:tcW w:w="11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9736AD4" w14:textId="77777777" w:rsidR="00D36F8C" w:rsidRDefault="00000000">
            <w:pPr>
              <w:spacing w:after="0" w:line="240" w:lineRule="auto"/>
            </w:pPr>
            <w:r>
              <w:rPr>
                <w:sz w:val="18"/>
                <w:szCs w:val="18"/>
              </w:rPr>
              <w:t>0,326</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BD613D1" w14:textId="77777777" w:rsidR="00D36F8C" w:rsidRDefault="00000000">
            <w:pPr>
              <w:spacing w:after="0" w:line="240" w:lineRule="auto"/>
            </w:pPr>
            <w:r>
              <w:rPr>
                <w:sz w:val="18"/>
                <w:szCs w:val="18"/>
              </w:rPr>
              <w:t>0,275</w:t>
            </w:r>
          </w:p>
        </w:tc>
        <w:tc>
          <w:tcPr>
            <w:tcW w:w="13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EC319BB" w14:textId="77777777" w:rsidR="00D36F8C" w:rsidRDefault="00000000">
            <w:pPr>
              <w:spacing w:after="0" w:line="240" w:lineRule="auto"/>
            </w:pPr>
            <w:r>
              <w:rPr>
                <w:sz w:val="18"/>
                <w:szCs w:val="18"/>
              </w:rPr>
              <w:t>0,775</w:t>
            </w:r>
          </w:p>
        </w:tc>
      </w:tr>
      <w:tr w:rsidR="00D36F8C" w14:paraId="3B69AC4A" w14:textId="77777777">
        <w:tblPrEx>
          <w:tblCellMar>
            <w:top w:w="0" w:type="dxa"/>
            <w:bottom w:w="0" w:type="dxa"/>
          </w:tblCellMar>
        </w:tblPrEx>
        <w:trPr>
          <w:cantSplit/>
        </w:trPr>
        <w:tc>
          <w:tcPr>
            <w:tcW w:w="19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5A974AC" w14:textId="77777777" w:rsidR="00D36F8C" w:rsidRDefault="00000000">
            <w:pPr>
              <w:spacing w:after="0" w:line="240" w:lineRule="auto"/>
            </w:pPr>
            <w:r>
              <w:rPr>
                <w:sz w:val="18"/>
                <w:szCs w:val="18"/>
              </w:rPr>
              <w:t>TP. Hồ Chí Minh</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0EDBC28" w14:textId="77777777" w:rsidR="00D36F8C" w:rsidRDefault="00000000">
            <w:pPr>
              <w:spacing w:after="0" w:line="240" w:lineRule="auto"/>
            </w:pPr>
            <w:r>
              <w:rPr>
                <w:sz w:val="18"/>
                <w:szCs w:val="18"/>
              </w:rPr>
              <w:t>1,998</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B5823EB" w14:textId="77777777" w:rsidR="00D36F8C" w:rsidRDefault="00000000">
            <w:pPr>
              <w:spacing w:after="0" w:line="240" w:lineRule="auto"/>
            </w:pPr>
            <w:r>
              <w:rPr>
                <w:sz w:val="18"/>
                <w:szCs w:val="18"/>
              </w:rPr>
              <w:t>0,042</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66E2F5" w14:textId="77777777" w:rsidR="00D36F8C" w:rsidRDefault="00000000">
            <w:pPr>
              <w:spacing w:after="0" w:line="240" w:lineRule="auto"/>
            </w:pPr>
            <w:r>
              <w:rPr>
                <w:sz w:val="18"/>
                <w:szCs w:val="18"/>
              </w:rPr>
              <w:t>0,020</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91DC31F" w14:textId="77777777" w:rsidR="00D36F8C" w:rsidRDefault="00000000">
            <w:pPr>
              <w:spacing w:after="0" w:line="240" w:lineRule="auto"/>
            </w:pPr>
            <w:r>
              <w:rPr>
                <w:sz w:val="18"/>
                <w:szCs w:val="18"/>
              </w:rPr>
              <w:t>0,004</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5D34850" w14:textId="77777777" w:rsidR="00D36F8C" w:rsidRDefault="00000000">
            <w:pPr>
              <w:spacing w:after="0" w:line="240" w:lineRule="auto"/>
            </w:pPr>
            <w:r>
              <w:rPr>
                <w:sz w:val="18"/>
                <w:szCs w:val="18"/>
              </w:rPr>
              <w:t>0,162</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458A0CEA" w14:textId="77777777" w:rsidR="00D36F8C" w:rsidRDefault="00000000">
            <w:pPr>
              <w:spacing w:after="0" w:line="240" w:lineRule="auto"/>
            </w:pPr>
            <w:r>
              <w:rPr>
                <w:sz w:val="18"/>
                <w:szCs w:val="18"/>
              </w:rPr>
              <w:t>0,119</w:t>
            </w:r>
          </w:p>
        </w:tc>
        <w:tc>
          <w:tcPr>
            <w:tcW w:w="11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C1E3D68" w14:textId="77777777" w:rsidR="00D36F8C" w:rsidRDefault="00000000">
            <w:pPr>
              <w:spacing w:after="0" w:line="240" w:lineRule="auto"/>
            </w:pPr>
            <w:r>
              <w:rPr>
                <w:sz w:val="18"/>
                <w:szCs w:val="18"/>
              </w:rPr>
              <w:t>0,326</w:t>
            </w:r>
          </w:p>
        </w:tc>
        <w:tc>
          <w:tcPr>
            <w:tcW w:w="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F2694CD" w14:textId="77777777" w:rsidR="00D36F8C" w:rsidRDefault="00000000">
            <w:pPr>
              <w:spacing w:after="0" w:line="240" w:lineRule="auto"/>
            </w:pPr>
            <w:r>
              <w:rPr>
                <w:sz w:val="18"/>
                <w:szCs w:val="18"/>
              </w:rPr>
              <w:t>0,020</w:t>
            </w:r>
          </w:p>
        </w:tc>
        <w:tc>
          <w:tcPr>
            <w:tcW w:w="13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56274407" w14:textId="77777777" w:rsidR="00D36F8C" w:rsidRDefault="00000000">
            <w:pPr>
              <w:spacing w:after="0" w:line="240" w:lineRule="auto"/>
            </w:pPr>
            <w:r>
              <w:rPr>
                <w:sz w:val="18"/>
                <w:szCs w:val="18"/>
              </w:rPr>
              <w:t>1,978</w:t>
            </w:r>
          </w:p>
        </w:tc>
      </w:tr>
    </w:tbl>
    <w:p w14:paraId="6003745D" w14:textId="77777777" w:rsidR="00D36F8C" w:rsidRDefault="00000000">
      <w:pPr>
        <w:jc w:val="both"/>
      </w:pPr>
      <w:r>
        <w:t>Có ba phát hiện. Thứ nhất, đối chứng quyết định kết quả. Đà Nẵng và TP. Hồ Chí Minh chủ yếu chôn lấp nên G</w:t>
      </w:r>
      <w:r>
        <w:rPr>
          <w:vertAlign w:val="subscript"/>
        </w:rPr>
        <w:t>B</w:t>
      </w:r>
      <w:r>
        <w:t xml:space="preserve"> cao (2,0 đến 2,3). Hà Nội đốt 65% ở lò có phát điện; phần điện thu hồi (0,75 tCO₂e/tấn) lớn hơn CO₂ hóa thạch từ PE (0,63), nên G</w:t>
      </w:r>
      <w:r>
        <w:rPr>
          <w:vertAlign w:val="subscript"/>
        </w:rPr>
        <w:t>B</w:t>
      </w:r>
      <w:r>
        <w:t xml:space="preserve"> chỉ còn 0,57. Thứ hai, vận chuyển đường bộ 1.720 đến 1.850 km về TP. Hồ Chí Minh tốn 0,21 đến 0,22 tCO₂e/tấn, tức 60% ER trung tâm của Hà Nội. Thứ ba, Sổ A của Hà Nội (0,83) cao hơn Sổ B (0,34) vì kiểm kê không được trừ điện lò đốt và tín dụng vật liệu, nhưng phải tính cả vận chuyển.</w:t>
      </w:r>
    </w:p>
    <w:p w14:paraId="7F93F9AF" w14:textId="77777777" w:rsidR="00D36F8C" w:rsidRDefault="00000000">
      <w:pPr>
        <w:keepNext/>
        <w:spacing w:before="160" w:after="80"/>
      </w:pPr>
      <w:r>
        <w:rPr>
          <w:rFonts w:ascii="Calibri" w:eastAsia="Calibri" w:hAnsi="Calibri" w:cs="Calibri"/>
          <w:b/>
          <w:bCs/>
          <w:sz w:val="21"/>
          <w:szCs w:val="21"/>
        </w:rPr>
        <w:t>Bảng 8 Độ nhạy của ER tại Hà Nội, kịch bản Trung tâm</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36"/>
        <w:gridCol w:w="3800"/>
      </w:tblGrid>
      <w:tr w:rsidR="00D36F8C" w14:paraId="53973051" w14:textId="77777777">
        <w:tblPrEx>
          <w:tblCellMar>
            <w:top w:w="0" w:type="dxa"/>
            <w:bottom w:w="0" w:type="dxa"/>
          </w:tblCellMar>
        </w:tblPrEx>
        <w:trPr>
          <w:cantSplit/>
          <w:tblHeader/>
        </w:trPr>
        <w:tc>
          <w:tcPr>
            <w:tcW w:w="6136"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6ADEAFF9" w14:textId="77777777" w:rsidR="00D36F8C" w:rsidRDefault="00000000">
            <w:pPr>
              <w:spacing w:after="0" w:line="240" w:lineRule="auto"/>
            </w:pPr>
            <w:r>
              <w:rPr>
                <w:b/>
                <w:bCs/>
                <w:sz w:val="18"/>
                <w:szCs w:val="18"/>
              </w:rPr>
              <w:t>Thay đổi</w:t>
            </w:r>
          </w:p>
        </w:tc>
        <w:tc>
          <w:tcPr>
            <w:tcW w:w="3800" w:type="dxa"/>
            <w:tcBorders>
              <w:top w:val="single" w:sz="4" w:space="0" w:color="A6A6A6"/>
              <w:left w:val="single" w:sz="4" w:space="0" w:color="A6A6A6"/>
              <w:bottom w:val="single" w:sz="4" w:space="0" w:color="A6A6A6"/>
              <w:right w:val="single" w:sz="4" w:space="0" w:color="A6A6A6"/>
            </w:tcBorders>
            <w:shd w:val="clear" w:color="auto" w:fill="E7EEE9"/>
            <w:tcMar>
              <w:top w:w="50" w:type="dxa"/>
              <w:left w:w="80" w:type="dxa"/>
              <w:bottom w:w="50" w:type="dxa"/>
              <w:right w:w="80" w:type="dxa"/>
            </w:tcMar>
          </w:tcPr>
          <w:p w14:paraId="7C11D7F8" w14:textId="77777777" w:rsidR="00D36F8C" w:rsidRDefault="00000000">
            <w:pPr>
              <w:spacing w:after="0" w:line="240" w:lineRule="auto"/>
            </w:pPr>
            <w:r>
              <w:rPr>
                <w:b/>
                <w:bCs/>
                <w:sz w:val="18"/>
                <w:szCs w:val="18"/>
              </w:rPr>
              <w:t>ER (tCO₂e/tấn khô)</w:t>
            </w:r>
          </w:p>
        </w:tc>
      </w:tr>
      <w:tr w:rsidR="00D36F8C" w14:paraId="26B7A734" w14:textId="77777777">
        <w:tblPrEx>
          <w:tblCellMar>
            <w:top w:w="0" w:type="dxa"/>
            <w:bottom w:w="0" w:type="dxa"/>
          </w:tblCellMar>
        </w:tblPrEx>
        <w:trPr>
          <w:cantSplit/>
        </w:trPr>
        <w:tc>
          <w:tcPr>
            <w:tcW w:w="6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A256A91" w14:textId="77777777" w:rsidR="00D36F8C" w:rsidRDefault="00000000">
            <w:pPr>
              <w:spacing w:after="0" w:line="240" w:lineRule="auto"/>
            </w:pPr>
            <w:r>
              <w:rPr>
                <w:sz w:val="18"/>
                <w:szCs w:val="18"/>
              </w:rPr>
              <w:t>Mặc định (đường bộ, trừ điện lò đốt)</w:t>
            </w:r>
          </w:p>
        </w:tc>
        <w:tc>
          <w:tcPr>
            <w:tcW w:w="3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38762008" w14:textId="77777777" w:rsidR="00D36F8C" w:rsidRDefault="00000000">
            <w:pPr>
              <w:spacing w:after="0" w:line="240" w:lineRule="auto"/>
            </w:pPr>
            <w:r>
              <w:rPr>
                <w:sz w:val="18"/>
                <w:szCs w:val="18"/>
              </w:rPr>
              <w:t>0,34</w:t>
            </w:r>
          </w:p>
        </w:tc>
      </w:tr>
      <w:tr w:rsidR="00D36F8C" w14:paraId="7816A466" w14:textId="77777777">
        <w:tblPrEx>
          <w:tblCellMar>
            <w:top w:w="0" w:type="dxa"/>
            <w:bottom w:w="0" w:type="dxa"/>
          </w:tblCellMar>
        </w:tblPrEx>
        <w:trPr>
          <w:cantSplit/>
        </w:trPr>
        <w:tc>
          <w:tcPr>
            <w:tcW w:w="6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6E9636A0" w14:textId="77777777" w:rsidR="00D36F8C" w:rsidRDefault="00000000">
            <w:pPr>
              <w:spacing w:after="0" w:line="240" w:lineRule="auto"/>
            </w:pPr>
            <w:r>
              <w:rPr>
                <w:sz w:val="18"/>
                <w:szCs w:val="18"/>
              </w:rPr>
              <w:t>Chở bằng tàu biển Hải Phòng tới Cát Lái</w:t>
            </w:r>
          </w:p>
        </w:tc>
        <w:tc>
          <w:tcPr>
            <w:tcW w:w="3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3BA95EF" w14:textId="77777777" w:rsidR="00D36F8C" w:rsidRDefault="00000000">
            <w:pPr>
              <w:spacing w:after="0" w:line="240" w:lineRule="auto"/>
            </w:pPr>
            <w:r>
              <w:rPr>
                <w:sz w:val="18"/>
                <w:szCs w:val="18"/>
              </w:rPr>
              <w:t>0,50</w:t>
            </w:r>
          </w:p>
        </w:tc>
      </w:tr>
      <w:tr w:rsidR="00D36F8C" w14:paraId="12A5DBAD" w14:textId="77777777">
        <w:tblPrEx>
          <w:tblCellMar>
            <w:top w:w="0" w:type="dxa"/>
            <w:bottom w:w="0" w:type="dxa"/>
          </w:tblCellMar>
        </w:tblPrEx>
        <w:trPr>
          <w:cantSplit/>
        </w:trPr>
        <w:tc>
          <w:tcPr>
            <w:tcW w:w="6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17ADCE33" w14:textId="77777777" w:rsidR="00D36F8C" w:rsidRDefault="00000000">
            <w:pPr>
              <w:spacing w:after="0" w:line="240" w:lineRule="auto"/>
            </w:pPr>
            <w:r>
              <w:rPr>
                <w:sz w:val="18"/>
                <w:szCs w:val="18"/>
              </w:rPr>
              <w:lastRenderedPageBreak/>
              <w:t>Không trừ điện lò đốt trong đối chứng</w:t>
            </w:r>
          </w:p>
        </w:tc>
        <w:tc>
          <w:tcPr>
            <w:tcW w:w="3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01CC38A6" w14:textId="77777777" w:rsidR="00D36F8C" w:rsidRDefault="00000000">
            <w:pPr>
              <w:spacing w:after="0" w:line="240" w:lineRule="auto"/>
            </w:pPr>
            <w:r>
              <w:rPr>
                <w:sz w:val="18"/>
                <w:szCs w:val="18"/>
              </w:rPr>
              <w:t>0,86</w:t>
            </w:r>
          </w:p>
        </w:tc>
      </w:tr>
      <w:tr w:rsidR="00D36F8C" w14:paraId="47D23349" w14:textId="77777777">
        <w:tblPrEx>
          <w:tblCellMar>
            <w:top w:w="0" w:type="dxa"/>
            <w:bottom w:w="0" w:type="dxa"/>
          </w:tblCellMar>
        </w:tblPrEx>
        <w:trPr>
          <w:cantSplit/>
        </w:trPr>
        <w:tc>
          <w:tcPr>
            <w:tcW w:w="6136"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7FE92522" w14:textId="77777777" w:rsidR="00D36F8C" w:rsidRDefault="00000000">
            <w:pPr>
              <w:spacing w:after="0" w:line="240" w:lineRule="auto"/>
            </w:pPr>
            <w:r>
              <w:rPr>
                <w:sz w:val="18"/>
                <w:szCs w:val="18"/>
              </w:rPr>
              <w:t>Tàu biển và không trừ điện lò đốt</w:t>
            </w:r>
          </w:p>
        </w:tc>
        <w:tc>
          <w:tcPr>
            <w:tcW w:w="3800" w:type="dxa"/>
            <w:tcBorders>
              <w:top w:val="single" w:sz="4" w:space="0" w:color="A6A6A6"/>
              <w:left w:val="single" w:sz="4" w:space="0" w:color="A6A6A6"/>
              <w:bottom w:val="single" w:sz="4" w:space="0" w:color="A6A6A6"/>
              <w:right w:val="single" w:sz="4" w:space="0" w:color="A6A6A6"/>
            </w:tcBorders>
            <w:tcMar>
              <w:top w:w="50" w:type="dxa"/>
              <w:left w:w="80" w:type="dxa"/>
              <w:bottom w:w="50" w:type="dxa"/>
              <w:right w:w="80" w:type="dxa"/>
            </w:tcMar>
          </w:tcPr>
          <w:p w14:paraId="2E427D6B" w14:textId="77777777" w:rsidR="00D36F8C" w:rsidRDefault="00000000">
            <w:pPr>
              <w:spacing w:after="0" w:line="240" w:lineRule="auto"/>
            </w:pPr>
            <w:r>
              <w:rPr>
                <w:sz w:val="18"/>
                <w:szCs w:val="18"/>
              </w:rPr>
              <w:t>1,02</w:t>
            </w:r>
          </w:p>
        </w:tc>
      </w:tr>
    </w:tbl>
    <w:p w14:paraId="660640F2" w14:textId="77777777" w:rsidR="00D36F8C" w:rsidRDefault="00000000">
      <w:pPr>
        <w:jc w:val="both"/>
      </w:pPr>
      <w:r>
        <w:t>Với vỏ hộp miền Bắc, phương án chở bằng tàu biển hoặc một cơ sở tái chế phía Bắc cần được so sánh trước khi mở rộng thu gom. Cách xử lý điện lò đốt trong đối chứng phải được công bố, vì nó làm ER của Hà Nội thay đổi hơn hai lần.</w:t>
      </w:r>
    </w:p>
    <w:p w14:paraId="18F6846B" w14:textId="77777777" w:rsidR="00D36F8C" w:rsidRDefault="00000000">
      <w:pPr>
        <w:pStyle w:val="Heading2"/>
      </w:pPr>
      <w:r>
        <w:t>7.3 Liên hệ kiểm kê doanh nghiệp</w:t>
      </w:r>
    </w:p>
    <w:p w14:paraId="4442C40E" w14:textId="77777777" w:rsidR="00D36F8C" w:rsidRDefault="00000000">
      <w:pPr>
        <w:jc w:val="both"/>
      </w:pPr>
      <w:r>
        <w:t>Giả sử chương trình đưa thêm 1.000 tấn khô vỏ hộp của chính nhãn hàng vào tái chế so với năm cơ sở, với tỷ trọng giống tám lô ví dụ. Category 12 của doanh nghiệp giảm khoảng 1.000 × 1,70 − 1.000 × 0,15 ≈ 1.550 tCO₂e trong kịch bản Trung tâm (EF</w:t>
      </w:r>
      <w:r>
        <w:rPr>
          <w:vertAlign w:val="subscript"/>
        </w:rPr>
        <w:t>disp</w:t>
      </w:r>
      <w:r>
        <w:t xml:space="preserve"> bình quân 1,70, EF</w:t>
      </w:r>
      <w:r>
        <w:rPr>
          <w:vertAlign w:val="subscript"/>
        </w:rPr>
        <w:t>rec</w:t>
      </w:r>
      <w:r>
        <w:t xml:space="preserve"> bình quân 0,15). Con số này được ghi thẳng vào kiểm kê vì tuyến xử lý thật sự thay đổi. Mức giảm tính theo tỷ lệ phần trăm của Category 12 phụ thuộc tổng khối lượng bao bì bán ra, do doanh nghiệp cung cấp.</w:t>
      </w:r>
    </w:p>
    <w:p w14:paraId="506815FE" w14:textId="77777777" w:rsidR="00D36F8C" w:rsidRDefault="00000000">
      <w:pPr>
        <w:pStyle w:val="Heading1"/>
      </w:pPr>
      <w:r>
        <w:t>8 Độ không chắc chắn và khả năng kiểm tra</w:t>
      </w:r>
    </w:p>
    <w:p w14:paraId="442080FF" w14:textId="77777777" w:rsidR="00D36F8C" w:rsidRDefault="00000000">
      <w:pPr>
        <w:jc w:val="both"/>
      </w:pPr>
      <w:r>
        <w:t>Thứ tự ưu tiên phân tích độ nhạy, theo mức ảnh hưởng tới ER trong mục 7, là: tỷ lệ tuyến đối chứng và loại bãi (MCF, R); cách xử lý điện lò đốt; quãng đường và phương thức vận chuyển; điện và nhiên liệu nhà máy; r và EF của vật liệu bị thay thế. Ba kịch bản Thấp, Trung tâm, Cao là miền giả định có căn cứ, không phải khoảng tin cậy thống kê. Nếu miền kết quả đi qua 0, như Hà Nội ở kịch bản Thấp, kết luận lợi ích khí hậu chưa vững với giả định hiện tại. Không cộng sai số bằng một tỷ lệ tùy ý.</w:t>
      </w:r>
    </w:p>
    <w:p w14:paraId="2E019AAB" w14:textId="77777777" w:rsidR="00D36F8C" w:rsidRDefault="00000000">
      <w:pPr>
        <w:jc w:val="both"/>
      </w:pPr>
      <w:r>
        <w:t>PolyAl ép thành tấm hoặc sản phẩm không tương đương thu hồi nhôm kim loại. Sản phẩm tồn kho hoặc không có đầu ra không được ghi tín dụng. Điện, hơi và nhiên liệu phải khớp địa điểm, năm và công nghệ. Hệ số đã ở CO₂e không nhân GWP lần nữa. Mọi kết quả cần lưu mã lô, phiên bản bảng tính và nhật ký thay đổi hệ số để tái lập.</w:t>
      </w:r>
    </w:p>
    <w:p w14:paraId="0E975868" w14:textId="77777777" w:rsidR="00D36F8C" w:rsidRDefault="00000000">
      <w:pPr>
        <w:pStyle w:val="Heading1"/>
      </w:pPr>
      <w:r>
        <w:t>9 Khuyến nghị áp dụng</w:t>
      </w:r>
    </w:p>
    <w:p w14:paraId="5F274FCB" w14:textId="77777777" w:rsidR="00D36F8C" w:rsidRDefault="00000000">
      <w:pPr>
        <w:pStyle w:val="ListParagraph"/>
        <w:numPr>
          <w:ilvl w:val="0"/>
          <w:numId w:val="3"/>
        </w:numPr>
        <w:spacing w:after="80"/>
        <w:jc w:val="both"/>
      </w:pPr>
      <w:r>
        <w:t>Trình bày kết quả thành ba bảng riêng: dòng vật liệu (tấn ướt, tấn khô, sợi, PolyAl, phần dư); Sổ A cho từng nhãn hàng; Sổ B cho chương trình.</w:t>
      </w:r>
    </w:p>
    <w:p w14:paraId="022CF990" w14:textId="77777777" w:rsidR="00D36F8C" w:rsidRDefault="00000000">
      <w:pPr>
        <w:pStyle w:val="ListParagraph"/>
        <w:numPr>
          <w:ilvl w:val="0"/>
          <w:numId w:val="3"/>
        </w:numPr>
        <w:spacing w:after="80"/>
        <w:jc w:val="both"/>
      </w:pPr>
      <w:r>
        <w:t>Công bố ra ngoài bằng kịch bản Thấp hoặc Trung tâm kèm khoảng, gọi đúng tên "phát thải tránh được", và không trừ vào kiểm kê.</w:t>
      </w:r>
    </w:p>
    <w:p w14:paraId="126EC27C" w14:textId="77777777" w:rsidR="00D36F8C" w:rsidRDefault="00000000">
      <w:pPr>
        <w:pStyle w:val="ListParagraph"/>
        <w:numPr>
          <w:ilvl w:val="0"/>
          <w:numId w:val="3"/>
        </w:numPr>
        <w:spacing w:after="80"/>
        <w:jc w:val="both"/>
      </w:pPr>
      <w:r>
        <w:t>Ưu tiên khảo sát đối chứng và loại bãi tại từng vùng thu gom, vì đây là số hạng lớn nhất.</w:t>
      </w:r>
    </w:p>
    <w:p w14:paraId="3E27D93B" w14:textId="77777777" w:rsidR="00D36F8C" w:rsidRDefault="00000000">
      <w:pPr>
        <w:pStyle w:val="ListParagraph"/>
        <w:numPr>
          <w:ilvl w:val="0"/>
          <w:numId w:val="3"/>
        </w:numPr>
        <w:spacing w:after="80"/>
        <w:jc w:val="both"/>
      </w:pPr>
      <w:r>
        <w:t>Đưa điều khoản phân bổ tuyên bố CO₂e và dữ liệu EPR vào hợp đồng giữa nhãn hàng, nhà sản xuất bao bì, GreenU và nhà tái chế.</w:t>
      </w:r>
    </w:p>
    <w:p w14:paraId="19C5702C" w14:textId="77777777" w:rsidR="00D36F8C" w:rsidRDefault="00000000">
      <w:pPr>
        <w:pStyle w:val="ListParagraph"/>
        <w:numPr>
          <w:ilvl w:val="0"/>
          <w:numId w:val="3"/>
        </w:numPr>
        <w:spacing w:after="80"/>
        <w:jc w:val="both"/>
      </w:pPr>
      <w:r>
        <w:t>So sánh phương án vận chuyển cho vỏ hộp miền Bắc trước khi mở rộng.</w:t>
      </w:r>
    </w:p>
    <w:p w14:paraId="466D0341" w14:textId="77777777" w:rsidR="00D36F8C" w:rsidRDefault="00000000">
      <w:pPr>
        <w:pStyle w:val="ListParagraph"/>
        <w:numPr>
          <w:ilvl w:val="0"/>
          <w:numId w:val="3"/>
        </w:numPr>
        <w:spacing w:after="80"/>
        <w:jc w:val="both"/>
      </w:pPr>
      <w:r>
        <w:t>Thuê bên độc lập thẩm tra đối chứng, hệ số, phân bổ và bằng chứng thay thế trước khi công bố hệ số địa phương. Tín chỉ carbon cần phương pháp được chấp thuận; bài này không xác lập chấp thuận pháp lý.</w:t>
      </w:r>
    </w:p>
    <w:p w14:paraId="5F22A216" w14:textId="77777777" w:rsidR="00D36F8C" w:rsidRDefault="00000000">
      <w:pPr>
        <w:pStyle w:val="Heading1"/>
      </w:pPr>
      <w:r>
        <w:t>10 Giới hạn và kết luận</w:t>
      </w:r>
    </w:p>
    <w:p w14:paraId="4EB11F27" w14:textId="77777777" w:rsidR="00D36F8C" w:rsidRDefault="00000000">
      <w:pPr>
        <w:jc w:val="both"/>
      </w:pPr>
      <w:r>
        <w:t>Tổng quan không tìm kiếm có hệ thống trên toàn bộ cơ sở dữ liệu học thuật, và mức tiếp cận toàn văn chưa đồng đều. Tỷ lệ tuyến đối chứng của bốn tỉnh dựa trên báo chí về rác sinh hoạt nói chung, chưa phải số liệu riêng cho vỏ hộp. Số liệu nhà máy và tín dụng thay thế là giả định. Bài chưa có đo đạc sơ cấp tại Việt Nam.</w:t>
      </w:r>
    </w:p>
    <w:p w14:paraId="7C04E9FD" w14:textId="77777777" w:rsidR="00D36F8C" w:rsidRDefault="00000000">
      <w:pPr>
        <w:jc w:val="both"/>
      </w:pPr>
      <w:r>
        <w:lastRenderedPageBreak/>
        <w:t>Căn cứ khoa học hiện có đủ để xác định cách tính và độ lớn. Tái chế vỏ hộp sữa giảm phát thải chủ yếu nhờ tránh methane ở bãi chôn lấp. Lợi ích hợp lý nằm dưới 4 tCO₂e mỗi tấn khô. Lợi ích thấp hơn nhiều ở nơi rác đã được đốt phát điện hoặc phải chở xa. Doanh nghiệp sữa được ghi mức giảm vào Scope 3 Category 12 cho phần vỏ hộp của mình. Phát thải tránh được của chương trình phải báo cáo ở sổ riêng. Một chương trình chỉ nên công bố con số CO₂e cụ thể sau khi đối chứng, dữ liệu vận hành và bằng chứng thay thế được kiểm tra.</w:t>
      </w:r>
    </w:p>
    <w:p w14:paraId="63919268" w14:textId="77777777" w:rsidR="00D36F8C" w:rsidRDefault="00000000">
      <w:pPr>
        <w:pStyle w:val="Heading1"/>
      </w:pPr>
      <w:r>
        <w:t>Tài liệu tham khảo</w:t>
      </w:r>
    </w:p>
    <w:p w14:paraId="62AA9797" w14:textId="77777777" w:rsidR="00D36F8C" w:rsidRDefault="00000000">
      <w:pPr>
        <w:spacing w:after="80"/>
        <w:ind w:left="360" w:hanging="360"/>
      </w:pPr>
      <w:r>
        <w:rPr>
          <w:sz w:val="21"/>
          <w:szCs w:val="21"/>
        </w:rPr>
        <w:t xml:space="preserve">Báo Quảng Ninh (2025) "Giải bài toán xử lý rác thải". </w:t>
      </w:r>
      <w:hyperlink r:id="rId26" w:history="1">
        <w:r>
          <w:rPr>
            <w:rStyle w:val="Hyperlink"/>
            <w:sz w:val="21"/>
            <w:szCs w:val="21"/>
          </w:rPr>
          <w:t>https://baoquangninh.vn/giai-bai-toan-xu-ly-rac-thai-3404539.html</w:t>
        </w:r>
      </w:hyperlink>
    </w:p>
    <w:p w14:paraId="458666B4" w14:textId="77777777" w:rsidR="00D36F8C" w:rsidRDefault="00000000">
      <w:pPr>
        <w:spacing w:after="80"/>
        <w:ind w:left="360" w:hanging="360"/>
      </w:pPr>
      <w:r>
        <w:rPr>
          <w:sz w:val="21"/>
          <w:szCs w:val="21"/>
        </w:rPr>
        <w:t xml:space="preserve">Chen, J., Chen, B., Dai, M., Xue, M. and Wang, Y. (2025) "Emission reduction potential from beverage carton recycling in China", Chinese Journal of Population, Resources and Environment. </w:t>
      </w:r>
      <w:hyperlink r:id="rId27" w:history="1">
        <w:r>
          <w:rPr>
            <w:rStyle w:val="Hyperlink"/>
            <w:sz w:val="21"/>
            <w:szCs w:val="21"/>
          </w:rPr>
          <w:t>https://www.sciencedirect.com/science/article/pii/S2325426225000725</w:t>
        </w:r>
      </w:hyperlink>
    </w:p>
    <w:p w14:paraId="501EE1FA" w14:textId="77777777" w:rsidR="00D36F8C" w:rsidRDefault="00000000">
      <w:pPr>
        <w:spacing w:after="80"/>
        <w:ind w:left="360" w:hanging="360"/>
      </w:pPr>
      <w:r>
        <w:rPr>
          <w:sz w:val="21"/>
          <w:szCs w:val="21"/>
        </w:rPr>
        <w:t>Chính phủ (2022) Nghị định 06/2022/NĐ-CP quy định giảm nhẹ phát thải khí nhà kính và bảo vệ tầng ô-dôn.</w:t>
      </w:r>
    </w:p>
    <w:p w14:paraId="4BD024D0" w14:textId="77777777" w:rsidR="00D36F8C" w:rsidRDefault="00000000">
      <w:pPr>
        <w:spacing w:after="80"/>
        <w:ind w:left="360" w:hanging="360"/>
      </w:pPr>
      <w:r>
        <w:rPr>
          <w:sz w:val="21"/>
          <w:szCs w:val="21"/>
        </w:rPr>
        <w:t>Chính phủ (2025a) Nghị định 05/2025/NĐ-CP sửa đổi, bổ sung Nghị định 08/2022/NĐ-CP quy định chi tiết Luật Bảo vệ môi trường.</w:t>
      </w:r>
    </w:p>
    <w:p w14:paraId="0B21161C" w14:textId="77777777" w:rsidR="00D36F8C" w:rsidRDefault="00000000">
      <w:pPr>
        <w:spacing w:after="80"/>
        <w:ind w:left="360" w:hanging="360"/>
      </w:pPr>
      <w:r>
        <w:rPr>
          <w:sz w:val="21"/>
          <w:szCs w:val="21"/>
        </w:rPr>
        <w:t xml:space="preserve">Chính phủ (2025b) Nghị định 119/2025/NĐ-CP sửa đổi, bổ sung Nghị định 06/2022/NĐ-CP. </w:t>
      </w:r>
      <w:hyperlink r:id="rId28" w:history="1">
        <w:r>
          <w:rPr>
            <w:rStyle w:val="Hyperlink"/>
            <w:sz w:val="21"/>
            <w:szCs w:val="21"/>
          </w:rPr>
          <w:t>https://mae.gov.vn/chinh-phu-ban-hanh-nghi-dinh-sua-doi-bo-sung-nghi-dinh-so-062022ndcp-quy-dinh-giam-nhe-phat-thai-khi-nha-kinh-va-bao-ve-tang-odon-18591.htm</w:t>
        </w:r>
      </w:hyperlink>
    </w:p>
    <w:p w14:paraId="0F59DBC9" w14:textId="77777777" w:rsidR="00D36F8C" w:rsidRDefault="00000000">
      <w:pPr>
        <w:spacing w:after="80"/>
        <w:ind w:left="360" w:hanging="360"/>
      </w:pPr>
      <w:r>
        <w:rPr>
          <w:sz w:val="21"/>
          <w:szCs w:val="21"/>
        </w:rPr>
        <w:t xml:space="preserve">Dân trí (2026) "Bài toán điện rác ở Đà Nẵng, chuyên gia cảnh báo nguy cơ lãng phí lớn", 23/4/2026. </w:t>
      </w:r>
      <w:hyperlink r:id="rId29" w:history="1">
        <w:r>
          <w:rPr>
            <w:rStyle w:val="Hyperlink"/>
            <w:sz w:val="21"/>
            <w:szCs w:val="21"/>
          </w:rPr>
          <w:t>https://dantri.com.vn/kinh-doanh/bai-toan-dien-rac-o-da-nang-chuyen-gia-canh-bao-nguy-co-lang-phi-lon-20260423150336956.htm</w:t>
        </w:r>
      </w:hyperlink>
    </w:p>
    <w:p w14:paraId="0551568F" w14:textId="77777777" w:rsidR="00D36F8C" w:rsidRDefault="00000000">
      <w:pPr>
        <w:spacing w:after="80"/>
        <w:ind w:left="360" w:hanging="360"/>
      </w:pPr>
      <w:r>
        <w:rPr>
          <w:sz w:val="21"/>
          <w:szCs w:val="21"/>
        </w:rPr>
        <w:t xml:space="preserve">Gold Standard (2025) Recovery and recycling of materials from solid wastes, Version 1.0. </w:t>
      </w:r>
      <w:hyperlink r:id="rId30" w:history="1">
        <w:r>
          <w:rPr>
            <w:rStyle w:val="Hyperlink"/>
            <w:sz w:val="21"/>
            <w:szCs w:val="21"/>
          </w:rPr>
          <w:t>https://globalgoals.goldstandard.org/standards/448_V1.0_Recovery-and-recycling-of-material-from-solid-wastes.pdf</w:t>
        </w:r>
      </w:hyperlink>
    </w:p>
    <w:p w14:paraId="1C7269B1" w14:textId="77777777" w:rsidR="00D36F8C" w:rsidRDefault="00000000">
      <w:pPr>
        <w:spacing w:after="80"/>
        <w:ind w:left="360" w:hanging="360"/>
      </w:pPr>
      <w:r>
        <w:rPr>
          <w:sz w:val="21"/>
          <w:szCs w:val="21"/>
        </w:rPr>
        <w:t xml:space="preserve">GreenCalculus (2026) Transport and freight emission factors (GLEC Framework v3.2). </w:t>
      </w:r>
      <w:hyperlink r:id="rId31" w:history="1">
        <w:r>
          <w:rPr>
            <w:rStyle w:val="Hyperlink"/>
            <w:sz w:val="21"/>
            <w:szCs w:val="21"/>
          </w:rPr>
          <w:t>https://greencalculus.com/data/business-travel-freight-logistics-emission-factors/</w:t>
        </w:r>
      </w:hyperlink>
    </w:p>
    <w:p w14:paraId="6C4D788D" w14:textId="77777777" w:rsidR="00D36F8C" w:rsidRDefault="00000000">
      <w:pPr>
        <w:spacing w:after="80"/>
        <w:ind w:left="360" w:hanging="360"/>
      </w:pPr>
      <w:r>
        <w:rPr>
          <w:sz w:val="21"/>
          <w:szCs w:val="21"/>
        </w:rPr>
        <w:t xml:space="preserve">Hànộimới (2023) "Nhà máy điện rác Sóc Sơn: phát huy hiệu quả xử lý rác thải sinh hoạt", 18/12/2023. </w:t>
      </w:r>
      <w:hyperlink r:id="rId32" w:history="1">
        <w:r>
          <w:rPr>
            <w:rStyle w:val="Hyperlink"/>
            <w:sz w:val="21"/>
            <w:szCs w:val="21"/>
          </w:rPr>
          <w:t>https://hanoimoi.vn/nha-may-dien-rac-soc-son-phat-huy-hieu-qua-xu-ly-rac-thai-sinh-hoat-653285.html</w:t>
        </w:r>
      </w:hyperlink>
    </w:p>
    <w:p w14:paraId="73169D79" w14:textId="77777777" w:rsidR="00D36F8C" w:rsidRDefault="00000000">
      <w:pPr>
        <w:spacing w:after="80"/>
        <w:ind w:left="360" w:hanging="360"/>
      </w:pPr>
      <w:r>
        <w:rPr>
          <w:sz w:val="21"/>
          <w:szCs w:val="21"/>
        </w:rPr>
        <w:t xml:space="preserve">IPCC (2006) 2006 IPCC Guidelines for National Greenhouse Gas Inventories. Volume 5: Waste, Chapters 2, 3, 5. </w:t>
      </w:r>
      <w:hyperlink r:id="rId33" w:history="1">
        <w:r>
          <w:rPr>
            <w:rStyle w:val="Hyperlink"/>
            <w:sz w:val="21"/>
            <w:szCs w:val="21"/>
          </w:rPr>
          <w:t>https://www.ipcc-nggip.iges.or.jp/public/2006gl/vol5.html</w:t>
        </w:r>
      </w:hyperlink>
    </w:p>
    <w:p w14:paraId="45A42C82" w14:textId="77777777" w:rsidR="00D36F8C" w:rsidRDefault="00000000">
      <w:pPr>
        <w:spacing w:after="80"/>
        <w:ind w:left="360" w:hanging="360"/>
      </w:pPr>
      <w:r>
        <w:rPr>
          <w:sz w:val="21"/>
          <w:szCs w:val="21"/>
        </w:rPr>
        <w:t xml:space="preserve">IPCC (2019) 2019 Refinement to the 2006 IPCC Guidelines. Volume 5, Chapter 3: Solid Waste Disposal. </w:t>
      </w:r>
      <w:hyperlink r:id="rId34" w:history="1">
        <w:r>
          <w:rPr>
            <w:rStyle w:val="Hyperlink"/>
            <w:sz w:val="21"/>
            <w:szCs w:val="21"/>
          </w:rPr>
          <w:t>https://www.ipcc-nggip.iges.or.jp/public/2019rf/pdf/5_Volume5/19R_V5_3_Ch03_SWDS.pdf</w:t>
        </w:r>
      </w:hyperlink>
    </w:p>
    <w:p w14:paraId="464C5350" w14:textId="77777777" w:rsidR="00D36F8C" w:rsidRDefault="00000000">
      <w:pPr>
        <w:spacing w:after="80"/>
        <w:ind w:left="360" w:hanging="360"/>
      </w:pPr>
      <w:r>
        <w:rPr>
          <w:sz w:val="21"/>
          <w:szCs w:val="21"/>
        </w:rPr>
        <w:t>ISO (2006a) ISO 14040:2006 Environmental management: Life cycle assessment, Principles and framework. Geneva: ISO.</w:t>
      </w:r>
    </w:p>
    <w:p w14:paraId="792506F7" w14:textId="77777777" w:rsidR="00D36F8C" w:rsidRDefault="00000000">
      <w:pPr>
        <w:spacing w:after="80"/>
        <w:ind w:left="360" w:hanging="360"/>
      </w:pPr>
      <w:r>
        <w:rPr>
          <w:sz w:val="21"/>
          <w:szCs w:val="21"/>
        </w:rPr>
        <w:t>ISO (2006b) ISO 14044:2006 Environmental management: Life cycle assessment, Requirements and guidelines. Geneva: ISO.</w:t>
      </w:r>
    </w:p>
    <w:p w14:paraId="1C8928F2" w14:textId="77777777" w:rsidR="00D36F8C" w:rsidRDefault="00000000">
      <w:pPr>
        <w:spacing w:after="80"/>
        <w:ind w:left="360" w:hanging="360"/>
      </w:pPr>
      <w:r>
        <w:rPr>
          <w:sz w:val="21"/>
          <w:szCs w:val="21"/>
        </w:rPr>
        <w:t>ISO (2018) ISO 14064-1:2018 Greenhouse gases, Part 1. Geneva: ISO.</w:t>
      </w:r>
    </w:p>
    <w:p w14:paraId="54F47F17" w14:textId="77777777" w:rsidR="00D36F8C" w:rsidRDefault="00000000">
      <w:pPr>
        <w:spacing w:after="80"/>
        <w:ind w:left="360" w:hanging="360"/>
      </w:pPr>
      <w:r>
        <w:rPr>
          <w:sz w:val="21"/>
          <w:szCs w:val="21"/>
        </w:rPr>
        <w:t>ISO (2019) ISO 14064-2:2019 Greenhouse gases, Part 2: project level. Geneva: ISO.</w:t>
      </w:r>
    </w:p>
    <w:p w14:paraId="42BC7184" w14:textId="77777777" w:rsidR="00D36F8C" w:rsidRDefault="00000000">
      <w:pPr>
        <w:spacing w:after="80"/>
        <w:ind w:left="360" w:hanging="360"/>
      </w:pPr>
      <w:r>
        <w:rPr>
          <w:sz w:val="21"/>
          <w:szCs w:val="21"/>
        </w:rPr>
        <w:t xml:space="preserve">Mourad, A.L., Garcia, E.E.C., Vilela, G.B. and von Zuben, F. (2008) "Influence of recycling rate increase of aseptic carton for long-life milk on GWP reduction", Resources, Conservation and Recycling, 52(4), pp. 678–689. </w:t>
      </w:r>
      <w:hyperlink r:id="rId35" w:history="1">
        <w:r>
          <w:rPr>
            <w:rStyle w:val="Hyperlink"/>
            <w:sz w:val="21"/>
            <w:szCs w:val="21"/>
          </w:rPr>
          <w:t>https://www.sciencedirect.com/science/article/abs/pii/S0921344907001784</w:t>
        </w:r>
      </w:hyperlink>
    </w:p>
    <w:p w14:paraId="525BBED3" w14:textId="77777777" w:rsidR="00D36F8C" w:rsidRDefault="00000000">
      <w:pPr>
        <w:spacing w:after="80"/>
        <w:ind w:left="360" w:hanging="360"/>
      </w:pPr>
      <w:r>
        <w:rPr>
          <w:sz w:val="21"/>
          <w:szCs w:val="21"/>
        </w:rPr>
        <w:t xml:space="preserve">QUACERT (2026) "Ước tính hệ số phát thải khí nhà kính của lưới điện Việt Nam năm 2025". </w:t>
      </w:r>
      <w:hyperlink r:id="rId36" w:history="1">
        <w:r>
          <w:rPr>
            <w:rStyle w:val="Hyperlink"/>
            <w:sz w:val="21"/>
            <w:szCs w:val="21"/>
          </w:rPr>
          <w:t>https://quacert.gov.vn/tin-tuc/chi-tiet/2635</w:t>
        </w:r>
      </w:hyperlink>
    </w:p>
    <w:p w14:paraId="24B497BF" w14:textId="77777777" w:rsidR="00D36F8C" w:rsidRDefault="00000000">
      <w:pPr>
        <w:spacing w:after="80"/>
        <w:ind w:left="360" w:hanging="360"/>
      </w:pPr>
      <w:r>
        <w:rPr>
          <w:sz w:val="21"/>
          <w:szCs w:val="21"/>
        </w:rPr>
        <w:lastRenderedPageBreak/>
        <w:t xml:space="preserve">Robertson, G.L. (2021) "Recycling of aseptic beverage cartons: a review", Recycling, 6(1), 20. </w:t>
      </w:r>
      <w:hyperlink r:id="rId37" w:history="1">
        <w:r>
          <w:rPr>
            <w:rStyle w:val="Hyperlink"/>
            <w:sz w:val="21"/>
            <w:szCs w:val="21"/>
          </w:rPr>
          <w:t>https://doi.org/10.3390/recycling6010020</w:t>
        </w:r>
      </w:hyperlink>
    </w:p>
    <w:p w14:paraId="3F2E2DDD" w14:textId="77777777" w:rsidR="00D36F8C" w:rsidRDefault="00000000">
      <w:pPr>
        <w:spacing w:after="80"/>
        <w:ind w:left="360" w:hanging="360"/>
      </w:pPr>
      <w:r>
        <w:rPr>
          <w:sz w:val="21"/>
          <w:szCs w:val="21"/>
        </w:rPr>
        <w:t xml:space="preserve">Roland Berger (2022) Impact assessment study of an EU-wide collection for recycling target of beverage cartons. Report for ACE. </w:t>
      </w:r>
      <w:hyperlink r:id="rId38" w:history="1">
        <w:r>
          <w:rPr>
            <w:rStyle w:val="Hyperlink"/>
            <w:sz w:val="21"/>
            <w:szCs w:val="21"/>
          </w:rPr>
          <w:t>https://fbcaglobal.com/storage/files/ace-impact-assessment-study-of-an-eu-wide-collection-for-recycling-target-of-beverage-cartons-roland-berger.pdf</w:t>
        </w:r>
      </w:hyperlink>
    </w:p>
    <w:p w14:paraId="69A248F4" w14:textId="77777777" w:rsidR="00D36F8C" w:rsidRDefault="00000000">
      <w:pPr>
        <w:spacing w:after="80"/>
        <w:ind w:left="360" w:hanging="360"/>
      </w:pPr>
      <w:r>
        <w:rPr>
          <w:sz w:val="21"/>
          <w:szCs w:val="21"/>
        </w:rPr>
        <w:t xml:space="preserve">Turner, D.A., Williams, I.D. and Kemp, S. (2015) "Greenhouse gas emission factors for recycling of source-segregated waste materials", Resources, Conservation and Recycling, 105, pp. 186–197. </w:t>
      </w:r>
      <w:hyperlink r:id="rId39" w:history="1">
        <w:r>
          <w:rPr>
            <w:rStyle w:val="Hyperlink"/>
            <w:sz w:val="21"/>
            <w:szCs w:val="21"/>
          </w:rPr>
          <w:t>https://doi.org/10.1016/j.resconrec.2015.10.026</w:t>
        </w:r>
      </w:hyperlink>
    </w:p>
    <w:p w14:paraId="11D5B866" w14:textId="77777777" w:rsidR="00D36F8C" w:rsidRDefault="00000000">
      <w:pPr>
        <w:spacing w:after="80"/>
        <w:ind w:left="360" w:hanging="360"/>
      </w:pPr>
      <w:r>
        <w:rPr>
          <w:sz w:val="21"/>
          <w:szCs w:val="21"/>
        </w:rPr>
        <w:t xml:space="preserve">UNFCCC (2022) AMS-III.AJ Small-scale methodology: Recovery and recycling of materials from solid wastes, Version 09.0. </w:t>
      </w:r>
      <w:hyperlink r:id="rId40" w:history="1">
        <w:r>
          <w:rPr>
            <w:rStyle w:val="Hyperlink"/>
            <w:sz w:val="21"/>
            <w:szCs w:val="21"/>
          </w:rPr>
          <w:t>https://cdm.unfccc.int/sunsetcms/storage/contents/stored-file-20220713220940213/MP88_EA18_AMS-III.AJ_v09.0.pdf</w:t>
        </w:r>
      </w:hyperlink>
    </w:p>
    <w:p w14:paraId="4F0FC8EA" w14:textId="77777777" w:rsidR="00D36F8C" w:rsidRDefault="00000000">
      <w:pPr>
        <w:spacing w:after="80"/>
        <w:ind w:left="360" w:hanging="360"/>
      </w:pPr>
      <w:r>
        <w:rPr>
          <w:sz w:val="21"/>
          <w:szCs w:val="21"/>
        </w:rPr>
        <w:t xml:space="preserve">UNFCCC (n.d.) Methodological tool 04: Emissions from solid waste disposal sites. </w:t>
      </w:r>
      <w:hyperlink r:id="rId41" w:history="1">
        <w:r>
          <w:rPr>
            <w:rStyle w:val="Hyperlink"/>
            <w:sz w:val="21"/>
            <w:szCs w:val="21"/>
          </w:rPr>
          <w:t>https://cdm.unfccc.int/methodologies/PAmethodologies/tools/am-tool-04-v7.pdf</w:t>
        </w:r>
      </w:hyperlink>
    </w:p>
    <w:p w14:paraId="2B9BAB20" w14:textId="77777777" w:rsidR="00D36F8C" w:rsidRDefault="00000000">
      <w:pPr>
        <w:spacing w:after="80"/>
        <w:ind w:left="360" w:hanging="360"/>
      </w:pPr>
      <w:r>
        <w:rPr>
          <w:sz w:val="21"/>
          <w:szCs w:val="21"/>
        </w:rPr>
        <w:t xml:space="preserve">Vietstock (2026) "TP.HCM vẫn chôn lấp gần 60% rác sinh hoạt", 31/7/2026. </w:t>
      </w:r>
      <w:hyperlink r:id="rId42" w:history="1">
        <w:r>
          <w:rPr>
            <w:rStyle w:val="Hyperlink"/>
            <w:sz w:val="21"/>
            <w:szCs w:val="21"/>
          </w:rPr>
          <w:t>https://vietstock.vn/2026/07/tphcm-van-chon-lap-gan-60-rac-sinh-hoat-768-1474238.htm</w:t>
        </w:r>
      </w:hyperlink>
    </w:p>
    <w:p w14:paraId="0E00B69B" w14:textId="77777777" w:rsidR="00D36F8C" w:rsidRDefault="00000000">
      <w:pPr>
        <w:spacing w:after="80"/>
        <w:ind w:left="360" w:hanging="360"/>
      </w:pPr>
      <w:r>
        <w:rPr>
          <w:sz w:val="21"/>
          <w:szCs w:val="21"/>
        </w:rPr>
        <w:t xml:space="preserve">VTV.vn (2026) "Bài toán xử lý bao bì sau tiêu dùng: kinh nghiệm từ Vinamilk", 27/5/2026. </w:t>
      </w:r>
      <w:hyperlink r:id="rId43" w:history="1">
        <w:r>
          <w:rPr>
            <w:rStyle w:val="Hyperlink"/>
            <w:sz w:val="21"/>
            <w:szCs w:val="21"/>
          </w:rPr>
          <w:t>https://vtv.vn/bai-toan-xu-ly-bao-bi-sau-tieu-dung-kinh-nghiem-tu-vinamilk-100260527172051202.htm</w:t>
        </w:r>
      </w:hyperlink>
    </w:p>
    <w:p w14:paraId="4C6A12D4" w14:textId="77777777" w:rsidR="00D36F8C" w:rsidRDefault="00000000">
      <w:pPr>
        <w:spacing w:after="80"/>
        <w:ind w:left="360" w:hanging="360"/>
      </w:pPr>
      <w:r>
        <w:rPr>
          <w:sz w:val="21"/>
          <w:szCs w:val="21"/>
        </w:rPr>
        <w:t xml:space="preserve">WBCSD (2023) Guidance on Avoided Emissions. </w:t>
      </w:r>
      <w:hyperlink r:id="rId44" w:history="1">
        <w:r>
          <w:rPr>
            <w:rStyle w:val="Hyperlink"/>
            <w:sz w:val="21"/>
            <w:szCs w:val="21"/>
          </w:rPr>
          <w:t>https://www.wbcsd.org/wp-content/uploads/2023/09/Climate-Avoided-Emissions-guidance_WBCSD.pdf</w:t>
        </w:r>
      </w:hyperlink>
    </w:p>
    <w:p w14:paraId="1C61238A" w14:textId="77777777" w:rsidR="00D36F8C" w:rsidRDefault="00000000">
      <w:pPr>
        <w:spacing w:after="80"/>
        <w:ind w:left="360" w:hanging="360"/>
      </w:pPr>
      <w:r>
        <w:rPr>
          <w:sz w:val="21"/>
          <w:szCs w:val="21"/>
        </w:rPr>
        <w:t xml:space="preserve">WRI/WBCSD (2005) The GHG Protocol for Project Accounting. </w:t>
      </w:r>
      <w:hyperlink r:id="rId45" w:history="1">
        <w:r>
          <w:rPr>
            <w:rStyle w:val="Hyperlink"/>
            <w:sz w:val="21"/>
            <w:szCs w:val="21"/>
          </w:rPr>
          <w:t>https://ghgprotocol.org/project-protocol</w:t>
        </w:r>
      </w:hyperlink>
    </w:p>
    <w:p w14:paraId="559D1469" w14:textId="77777777" w:rsidR="00D36F8C" w:rsidRDefault="00000000">
      <w:pPr>
        <w:spacing w:after="80"/>
        <w:ind w:left="360" w:hanging="360"/>
      </w:pPr>
      <w:r>
        <w:rPr>
          <w:sz w:val="21"/>
          <w:szCs w:val="21"/>
        </w:rPr>
        <w:t>WRI/WBCSD (2011) Corporate Value Chain (Scope 3) Accounting and Reporting Standard.</w:t>
      </w:r>
    </w:p>
    <w:p w14:paraId="0624F197" w14:textId="77777777" w:rsidR="00D36F8C" w:rsidRDefault="00000000">
      <w:pPr>
        <w:spacing w:after="80"/>
        <w:ind w:left="360" w:hanging="360"/>
      </w:pPr>
      <w:r>
        <w:rPr>
          <w:sz w:val="21"/>
          <w:szCs w:val="21"/>
        </w:rPr>
        <w:t xml:space="preserve">WRI/WBCSD (2013) Technical Guidance for Calculating Scope 3 Emissions, Version 1.0. </w:t>
      </w:r>
      <w:hyperlink r:id="rId46" w:history="1">
        <w:r>
          <w:rPr>
            <w:rStyle w:val="Hyperlink"/>
            <w:sz w:val="21"/>
            <w:szCs w:val="21"/>
          </w:rPr>
          <w:t>https://ghgprotocol.org/sites/default/files/standards/Scope3_Calculation_Guidance_0.pdf</w:t>
        </w:r>
      </w:hyperlink>
    </w:p>
    <w:p w14:paraId="5254E17B" w14:textId="77777777" w:rsidR="00D36F8C" w:rsidRDefault="00000000">
      <w:pPr>
        <w:spacing w:after="80"/>
        <w:ind w:left="360" w:hanging="360"/>
      </w:pPr>
      <w:r>
        <w:rPr>
          <w:sz w:val="21"/>
          <w:szCs w:val="21"/>
        </w:rPr>
        <w:t xml:space="preserve">Xie, M., Qiao, Q., Sun, Q. and Zhang, L. (2013) "Life cycle assessment of composite packaging waste management: a Chinese case study on aseptic packaging", The International Journal of Life Cycle Assessment, 18, pp. 626–635. </w:t>
      </w:r>
      <w:hyperlink r:id="rId47" w:history="1">
        <w:r>
          <w:rPr>
            <w:rStyle w:val="Hyperlink"/>
            <w:sz w:val="21"/>
            <w:szCs w:val="21"/>
          </w:rPr>
          <w:t>https://doi.org/10.1007/s11367-012-0516-6</w:t>
        </w:r>
      </w:hyperlink>
    </w:p>
    <w:p w14:paraId="1D5B0B4B" w14:textId="77777777" w:rsidR="00D36F8C" w:rsidRDefault="00000000">
      <w:pPr>
        <w:spacing w:after="80"/>
        <w:ind w:left="360" w:hanging="360"/>
      </w:pPr>
      <w:r>
        <w:rPr>
          <w:sz w:val="21"/>
          <w:szCs w:val="21"/>
        </w:rPr>
        <w:t xml:space="preserve">Zhang, L., Qin, G., Huang, W. and Li, H. (2026) "Environmental impacts and economic benefits of waste milk carton recovery from schools", Environmental Impact Assessment Review, 116, 108075. </w:t>
      </w:r>
      <w:hyperlink r:id="rId48" w:history="1">
        <w:r>
          <w:rPr>
            <w:rStyle w:val="Hyperlink"/>
            <w:sz w:val="21"/>
            <w:szCs w:val="21"/>
          </w:rPr>
          <w:t>https://doi.org/10.1016/j.eiar.2025.108075</w:t>
        </w:r>
      </w:hyperlink>
    </w:p>
    <w:p w14:paraId="48CD0D65" w14:textId="77777777" w:rsidR="00D36F8C" w:rsidRDefault="00000000">
      <w:pPr>
        <w:spacing w:before="120"/>
      </w:pPr>
      <w:r>
        <w:rPr>
          <w:b/>
          <w:bCs/>
          <w:i/>
          <w:iCs/>
          <w:sz w:val="20"/>
          <w:szCs w:val="20"/>
        </w:rPr>
        <w:t>Các nguồn trực tuyến được truy cập ngày 25 và 30 tháng 9 năm 2026.</w:t>
      </w:r>
    </w:p>
    <w:sectPr w:rsidR="00D36F8C">
      <w:footerReference w:type="default" r:id="rId49"/>
      <w:pgSz w:w="12240" w:h="15840"/>
      <w:pgMar w:top="1008" w:right="1152" w:bottom="1008"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BCD03C" w14:textId="77777777" w:rsidR="00AF57A3" w:rsidRDefault="00AF57A3">
      <w:pPr>
        <w:spacing w:after="0" w:line="240" w:lineRule="auto"/>
      </w:pPr>
      <w:r>
        <w:separator/>
      </w:r>
    </w:p>
  </w:endnote>
  <w:endnote w:type="continuationSeparator" w:id="0">
    <w:p w14:paraId="626B9743" w14:textId="77777777" w:rsidR="00AF57A3" w:rsidRDefault="00AF5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9E5A2" w14:textId="77777777" w:rsidR="00D36F8C" w:rsidRDefault="00000000">
    <w:pPr>
      <w:jc w:val="center"/>
    </w:pPr>
    <w:r>
      <w:rPr>
        <w:sz w:val="20"/>
        <w:szCs w:val="20"/>
      </w:rPr>
      <w:fldChar w:fldCharType="begin"/>
    </w:r>
    <w:r>
      <w:rPr>
        <w:sz w:val="20"/>
        <w:szCs w:val="20"/>
      </w:rPr>
      <w:instrText>PAGE</w:instrText>
    </w:r>
    <w:r>
      <w:rPr>
        <w:sz w:val="20"/>
        <w:szCs w:val="20"/>
      </w:rPr>
      <w:fldChar w:fldCharType="separate"/>
    </w:r>
    <w:r w:rsidR="0023655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F14822" w14:textId="77777777" w:rsidR="00AF57A3" w:rsidRDefault="00AF57A3">
      <w:pPr>
        <w:spacing w:after="0" w:line="240" w:lineRule="auto"/>
      </w:pPr>
      <w:r>
        <w:separator/>
      </w:r>
    </w:p>
  </w:footnote>
  <w:footnote w:type="continuationSeparator" w:id="0">
    <w:p w14:paraId="00FF53EB" w14:textId="77777777" w:rsidR="00AF57A3" w:rsidRDefault="00AF5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3220D6"/>
    <w:multiLevelType w:val="hybridMultilevel"/>
    <w:tmpl w:val="E670FEE2"/>
    <w:lvl w:ilvl="0" w:tplc="C7EC452C">
      <w:start w:val="1"/>
      <w:numFmt w:val="bullet"/>
      <w:lvlText w:val="•"/>
      <w:lvlJc w:val="left"/>
      <w:pPr>
        <w:ind w:left="460" w:hanging="340"/>
      </w:pPr>
    </w:lvl>
    <w:lvl w:ilvl="1" w:tplc="39D2B0CC">
      <w:numFmt w:val="decimal"/>
      <w:lvlText w:val=""/>
      <w:lvlJc w:val="left"/>
    </w:lvl>
    <w:lvl w:ilvl="2" w:tplc="07C20658">
      <w:numFmt w:val="decimal"/>
      <w:lvlText w:val=""/>
      <w:lvlJc w:val="left"/>
    </w:lvl>
    <w:lvl w:ilvl="3" w:tplc="E1AAC138">
      <w:numFmt w:val="decimal"/>
      <w:lvlText w:val=""/>
      <w:lvlJc w:val="left"/>
    </w:lvl>
    <w:lvl w:ilvl="4" w:tplc="2AE02128">
      <w:numFmt w:val="decimal"/>
      <w:lvlText w:val=""/>
      <w:lvlJc w:val="left"/>
    </w:lvl>
    <w:lvl w:ilvl="5" w:tplc="44C24E56">
      <w:numFmt w:val="decimal"/>
      <w:lvlText w:val=""/>
      <w:lvlJc w:val="left"/>
    </w:lvl>
    <w:lvl w:ilvl="6" w:tplc="BEE61F9C">
      <w:numFmt w:val="decimal"/>
      <w:lvlText w:val=""/>
      <w:lvlJc w:val="left"/>
    </w:lvl>
    <w:lvl w:ilvl="7" w:tplc="09A68A04">
      <w:numFmt w:val="decimal"/>
      <w:lvlText w:val=""/>
      <w:lvlJc w:val="left"/>
    </w:lvl>
    <w:lvl w:ilvl="8" w:tplc="249268AC">
      <w:numFmt w:val="decimal"/>
      <w:lvlText w:val=""/>
      <w:lvlJc w:val="left"/>
    </w:lvl>
  </w:abstractNum>
  <w:abstractNum w:abstractNumId="1" w15:restartNumberingAfterBreak="0">
    <w:nsid w:val="0EB72FFE"/>
    <w:multiLevelType w:val="hybridMultilevel"/>
    <w:tmpl w:val="C1D0FB8E"/>
    <w:lvl w:ilvl="0" w:tplc="11B4A5B2">
      <w:start w:val="1"/>
      <w:numFmt w:val="decimal"/>
      <w:lvlText w:val="%1."/>
      <w:lvlJc w:val="left"/>
      <w:pPr>
        <w:ind w:left="460" w:hanging="340"/>
      </w:pPr>
    </w:lvl>
    <w:lvl w:ilvl="1" w:tplc="3B187476">
      <w:numFmt w:val="decimal"/>
      <w:lvlText w:val=""/>
      <w:lvlJc w:val="left"/>
    </w:lvl>
    <w:lvl w:ilvl="2" w:tplc="55449738">
      <w:numFmt w:val="decimal"/>
      <w:lvlText w:val=""/>
      <w:lvlJc w:val="left"/>
    </w:lvl>
    <w:lvl w:ilvl="3" w:tplc="CC36D68A">
      <w:numFmt w:val="decimal"/>
      <w:lvlText w:val=""/>
      <w:lvlJc w:val="left"/>
    </w:lvl>
    <w:lvl w:ilvl="4" w:tplc="0C8EE000">
      <w:numFmt w:val="decimal"/>
      <w:lvlText w:val=""/>
      <w:lvlJc w:val="left"/>
    </w:lvl>
    <w:lvl w:ilvl="5" w:tplc="F7F2BFAE">
      <w:numFmt w:val="decimal"/>
      <w:lvlText w:val=""/>
      <w:lvlJc w:val="left"/>
    </w:lvl>
    <w:lvl w:ilvl="6" w:tplc="E6167964">
      <w:numFmt w:val="decimal"/>
      <w:lvlText w:val=""/>
      <w:lvlJc w:val="left"/>
    </w:lvl>
    <w:lvl w:ilvl="7" w:tplc="61A2170E">
      <w:numFmt w:val="decimal"/>
      <w:lvlText w:val=""/>
      <w:lvlJc w:val="left"/>
    </w:lvl>
    <w:lvl w:ilvl="8" w:tplc="EBA6C82E">
      <w:numFmt w:val="decimal"/>
      <w:lvlText w:val=""/>
      <w:lvlJc w:val="left"/>
    </w:lvl>
  </w:abstractNum>
  <w:abstractNum w:abstractNumId="2" w15:restartNumberingAfterBreak="0">
    <w:nsid w:val="4C5D49A0"/>
    <w:multiLevelType w:val="hybridMultilevel"/>
    <w:tmpl w:val="827EA962"/>
    <w:lvl w:ilvl="0" w:tplc="8CFE6EF0">
      <w:start w:val="1"/>
      <w:numFmt w:val="bullet"/>
      <w:lvlText w:val="●"/>
      <w:lvlJc w:val="left"/>
      <w:pPr>
        <w:ind w:left="720" w:hanging="360"/>
      </w:pPr>
    </w:lvl>
    <w:lvl w:ilvl="1" w:tplc="7EFAD65A">
      <w:start w:val="1"/>
      <w:numFmt w:val="bullet"/>
      <w:lvlText w:val="○"/>
      <w:lvlJc w:val="left"/>
      <w:pPr>
        <w:ind w:left="1440" w:hanging="360"/>
      </w:pPr>
    </w:lvl>
    <w:lvl w:ilvl="2" w:tplc="CE64564A">
      <w:start w:val="1"/>
      <w:numFmt w:val="bullet"/>
      <w:lvlText w:val="■"/>
      <w:lvlJc w:val="left"/>
      <w:pPr>
        <w:ind w:left="2160" w:hanging="360"/>
      </w:pPr>
    </w:lvl>
    <w:lvl w:ilvl="3" w:tplc="EFAAD59A">
      <w:start w:val="1"/>
      <w:numFmt w:val="bullet"/>
      <w:lvlText w:val="●"/>
      <w:lvlJc w:val="left"/>
      <w:pPr>
        <w:ind w:left="2880" w:hanging="360"/>
      </w:pPr>
    </w:lvl>
    <w:lvl w:ilvl="4" w:tplc="1C30D106">
      <w:start w:val="1"/>
      <w:numFmt w:val="bullet"/>
      <w:lvlText w:val="○"/>
      <w:lvlJc w:val="left"/>
      <w:pPr>
        <w:ind w:left="3600" w:hanging="360"/>
      </w:pPr>
    </w:lvl>
    <w:lvl w:ilvl="5" w:tplc="853CD0F0">
      <w:start w:val="1"/>
      <w:numFmt w:val="bullet"/>
      <w:lvlText w:val="■"/>
      <w:lvlJc w:val="left"/>
      <w:pPr>
        <w:ind w:left="4320" w:hanging="360"/>
      </w:pPr>
    </w:lvl>
    <w:lvl w:ilvl="6" w:tplc="3AC2B4F0">
      <w:start w:val="1"/>
      <w:numFmt w:val="bullet"/>
      <w:lvlText w:val="●"/>
      <w:lvlJc w:val="left"/>
      <w:pPr>
        <w:ind w:left="5040" w:hanging="360"/>
      </w:pPr>
    </w:lvl>
    <w:lvl w:ilvl="7" w:tplc="EEE6B50A">
      <w:start w:val="1"/>
      <w:numFmt w:val="bullet"/>
      <w:lvlText w:val="●"/>
      <w:lvlJc w:val="left"/>
      <w:pPr>
        <w:ind w:left="5760" w:hanging="360"/>
      </w:pPr>
    </w:lvl>
    <w:lvl w:ilvl="8" w:tplc="DDA472AC">
      <w:start w:val="1"/>
      <w:numFmt w:val="bullet"/>
      <w:lvlText w:val="●"/>
      <w:lvlJc w:val="left"/>
      <w:pPr>
        <w:ind w:left="6480" w:hanging="360"/>
      </w:pPr>
    </w:lvl>
  </w:abstractNum>
  <w:num w:numId="1" w16cid:durableId="1453280188">
    <w:abstractNumId w:val="2"/>
    <w:lvlOverride w:ilvl="0">
      <w:startOverride w:val="1"/>
    </w:lvlOverride>
  </w:num>
  <w:num w:numId="2" w16cid:durableId="1493374197">
    <w:abstractNumId w:val="0"/>
    <w:lvlOverride w:ilvl="0">
      <w:startOverride w:val="1"/>
    </w:lvlOverride>
  </w:num>
  <w:num w:numId="3" w16cid:durableId="790436435">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F8C"/>
    <w:rsid w:val="00236557"/>
    <w:rsid w:val="00406FA4"/>
    <w:rsid w:val="00AF57A3"/>
    <w:rsid w:val="00D36F8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15AEC08"/>
  <w15:docId w15:val="{589F3155-0307-2741-A478-301EBC3C8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3"/>
        <w:szCs w:val="23"/>
        <w:lang w:val="en-VN" w:eastAsia="en-US" w:bidi="ar-SA"/>
      </w:rPr>
    </w:rPrDefault>
    <w:pPrDefault>
      <w:pPr>
        <w:spacing w:after="120"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240" w:after="100"/>
      <w:outlineLvl w:val="0"/>
    </w:pPr>
    <w:rPr>
      <w:rFonts w:ascii="Calibri" w:eastAsia="Calibri" w:hAnsi="Calibri" w:cs="Calibri"/>
      <w:b/>
      <w:bCs/>
      <w:sz w:val="26"/>
      <w:szCs w:val="26"/>
    </w:rPr>
  </w:style>
  <w:style w:type="paragraph" w:styleId="Heading2">
    <w:name w:val="heading 2"/>
    <w:uiPriority w:val="9"/>
    <w:unhideWhenUsed/>
    <w:qFormat/>
    <w:pPr>
      <w:keepNext/>
      <w:keepLines/>
      <w:spacing w:before="200" w:after="80"/>
      <w:outlineLvl w:val="1"/>
    </w:pPr>
    <w:rPr>
      <w:rFonts w:ascii="Calibri" w:eastAsia="Calibri" w:hAnsi="Calibri" w:cs="Calibri"/>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vtv.vn/bai-toan-xu-ly-bao-bi-sau-tieu-dung-kinh-nghiem-tu-vinamilk-100260527172051202.htm" TargetMode="External"/><Relationship Id="rId18" Type="http://schemas.openxmlformats.org/officeDocument/2006/relationships/hyperlink" Target="https://mae.gov.vn/chinh-phu-ban-hanh-nghi-dinh-sua-doi-bo-sung-nghi-dinh-so-062022ndcp-quy-dinh-giam-nhe-phat-thai-khi-nha-kinh-va-bao-ve-tang-odon-18591.htm" TargetMode="External"/><Relationship Id="rId26" Type="http://schemas.openxmlformats.org/officeDocument/2006/relationships/hyperlink" Target="https://baoquangninh.vn/giai-bai-toan-xu-ly-rac-thai-3404539.html" TargetMode="External"/><Relationship Id="rId39" Type="http://schemas.openxmlformats.org/officeDocument/2006/relationships/hyperlink" Target="https://doi.org/10.1016/j.resconrec.2015.10.026" TargetMode="External"/><Relationship Id="rId21" Type="http://schemas.openxmlformats.org/officeDocument/2006/relationships/hyperlink" Target="https://greencalculus.com/data/business-travel-freight-logistics-emission-factors/" TargetMode="External"/><Relationship Id="rId34" Type="http://schemas.openxmlformats.org/officeDocument/2006/relationships/hyperlink" Target="https://www.ipcc-nggip.iges.or.jp/public/2019rf/pdf/5_Volume5/19R_V5_3_Ch03_SWDS.pdf" TargetMode="External"/><Relationship Id="rId42" Type="http://schemas.openxmlformats.org/officeDocument/2006/relationships/hyperlink" Target="https://vietstock.vn/2026/07/tphcm-van-chon-lap-gan-60-rac-sinh-hoat-768-1474238.htm" TargetMode="External"/><Relationship Id="rId47" Type="http://schemas.openxmlformats.org/officeDocument/2006/relationships/hyperlink" Target="https://doi.org/10.1007/s11367-012-0516-6" TargetMode="External"/><Relationship Id="rId50" Type="http://schemas.openxmlformats.org/officeDocument/2006/relationships/fontTable" Target="fontTable.xml"/><Relationship Id="rId7" Type="http://schemas.openxmlformats.org/officeDocument/2006/relationships/hyperlink" Target="https://www.sciencedirect.com/science/article/abs/pii/S0195925525002720" TargetMode="External"/><Relationship Id="rId2" Type="http://schemas.openxmlformats.org/officeDocument/2006/relationships/styles" Target="styles.xml"/><Relationship Id="rId16" Type="http://schemas.openxmlformats.org/officeDocument/2006/relationships/hyperlink" Target="https://cdm.unfccc.int/sunsetcms/storage/contents/stored-file-20220713220940213/MP88_EA18_AMS-III.AJ_v09.0.pdf" TargetMode="External"/><Relationship Id="rId29" Type="http://schemas.openxmlformats.org/officeDocument/2006/relationships/hyperlink" Target="https://dantri.com.vn/kinh-doanh/bai-toan-dien-rac-o-da-nang-chuyen-gia-canh-bao-nguy-co-lang-phi-lon-20260423150336956.htm" TargetMode="External"/><Relationship Id="rId11" Type="http://schemas.openxmlformats.org/officeDocument/2006/relationships/hyperlink" Target="https://fbcaglobal.com/storage/files/ace-impact-assessment-study-of-an-eu-wide-collection-for-recycling-target-of-beverage-cartons-roland-berger.pdf" TargetMode="External"/><Relationship Id="rId24" Type="http://schemas.openxmlformats.org/officeDocument/2006/relationships/hyperlink" Target="https://baoquangninh.vn/giai-bai-toan-xu-ly-rac-thai-3404539.html" TargetMode="External"/><Relationship Id="rId32" Type="http://schemas.openxmlformats.org/officeDocument/2006/relationships/hyperlink" Target="https://hanoimoi.vn/nha-may-dien-rac-soc-son-phat-huy-hieu-qua-xu-ly-rac-thai-sinh-hoat-653285.html" TargetMode="External"/><Relationship Id="rId37" Type="http://schemas.openxmlformats.org/officeDocument/2006/relationships/hyperlink" Target="https://doi.org/10.3390/recycling6010020" TargetMode="External"/><Relationship Id="rId40" Type="http://schemas.openxmlformats.org/officeDocument/2006/relationships/hyperlink" Target="https://cdm.unfccc.int/sunsetcms/storage/contents/stored-file-20220713220940213/MP88_EA18_AMS-III.AJ_v09.0.pdf" TargetMode="External"/><Relationship Id="rId45" Type="http://schemas.openxmlformats.org/officeDocument/2006/relationships/hyperlink" Target="https://ghgprotocol.org/project-protocol" TargetMode="External"/><Relationship Id="rId5" Type="http://schemas.openxmlformats.org/officeDocument/2006/relationships/footnotes" Target="footnotes.xml"/><Relationship Id="rId15" Type="http://schemas.openxmlformats.org/officeDocument/2006/relationships/hyperlink" Target="https://www.ipcc-nggip.iges.or.jp/public/2019rf/pdf/5_Volume5/19R_V5_3_Ch03_SWDS.pdf" TargetMode="External"/><Relationship Id="rId23" Type="http://schemas.openxmlformats.org/officeDocument/2006/relationships/hyperlink" Target="https://dantri.com.vn/kinh-doanh/bai-toan-dien-rac-o-da-nang-chuyen-gia-canh-bao-nguy-co-lang-phi-lon-20260423150336956.htm" TargetMode="External"/><Relationship Id="rId28" Type="http://schemas.openxmlformats.org/officeDocument/2006/relationships/hyperlink" Target="https://mae.gov.vn/chinh-phu-ban-hanh-nghi-dinh-sua-doi-bo-sung-nghi-dinh-so-062022ndcp-quy-dinh-giam-nhe-phat-thai-khi-nha-kinh-va-bao-ve-tang-odon-18591.htm" TargetMode="External"/><Relationship Id="rId36" Type="http://schemas.openxmlformats.org/officeDocument/2006/relationships/hyperlink" Target="https://quacert.gov.vn/tin-tuc/chi-tiet/2635" TargetMode="External"/><Relationship Id="rId49" Type="http://schemas.openxmlformats.org/officeDocument/2006/relationships/footer" Target="footer1.xml"/><Relationship Id="rId10" Type="http://schemas.openxmlformats.org/officeDocument/2006/relationships/hyperlink" Target="https://link.springer.com/article/10.1007/s11367-012-0516-6" TargetMode="External"/><Relationship Id="rId19" Type="http://schemas.openxmlformats.org/officeDocument/2006/relationships/image" Target="media/image1.png"/><Relationship Id="rId31" Type="http://schemas.openxmlformats.org/officeDocument/2006/relationships/hyperlink" Target="https://greencalculus.com/data/business-travel-freight-logistics-emission-factors/" TargetMode="External"/><Relationship Id="rId44" Type="http://schemas.openxmlformats.org/officeDocument/2006/relationships/hyperlink" Target="https://www.wbcsd.org/wp-content/uploads/2023/09/Climate-Avoided-Emissions-guidance_WBCSD.pdf" TargetMode="External"/><Relationship Id="rId4" Type="http://schemas.openxmlformats.org/officeDocument/2006/relationships/webSettings" Target="webSettings.xml"/><Relationship Id="rId9" Type="http://schemas.openxmlformats.org/officeDocument/2006/relationships/hyperlink" Target="https://www.sciencedirect.com/science/article/abs/pii/S0921344907001784" TargetMode="External"/><Relationship Id="rId14" Type="http://schemas.openxmlformats.org/officeDocument/2006/relationships/hyperlink" Target="https://www.wbcsd.org/wp-content/uploads/2023/09/Climate-Avoided-Emissions-guidance_WBCSD.pdf" TargetMode="External"/><Relationship Id="rId22" Type="http://schemas.openxmlformats.org/officeDocument/2006/relationships/hyperlink" Target="https://hanoimoi.vn/nha-may-dien-rac-soc-son-phat-huy-hieu-qua-xu-ly-rac-thai-sinh-hoat-653285.html" TargetMode="External"/><Relationship Id="rId27" Type="http://schemas.openxmlformats.org/officeDocument/2006/relationships/hyperlink" Target="https://www.sciencedirect.com/science/article/pii/S2325426225000725" TargetMode="External"/><Relationship Id="rId30" Type="http://schemas.openxmlformats.org/officeDocument/2006/relationships/hyperlink" Target="https://globalgoals.goldstandard.org/standards/448_V1.0_Recovery-and-recycling-of-material-from-solid-wastes.pdf" TargetMode="External"/><Relationship Id="rId35" Type="http://schemas.openxmlformats.org/officeDocument/2006/relationships/hyperlink" Target="https://www.sciencedirect.com/science/article/abs/pii/S0921344907001784" TargetMode="External"/><Relationship Id="rId43" Type="http://schemas.openxmlformats.org/officeDocument/2006/relationships/hyperlink" Target="https://vtv.vn/bai-toan-xu-ly-bao-bi-sau-tieu-dung-kinh-nghiem-tu-vinamilk-100260527172051202.htm" TargetMode="External"/><Relationship Id="rId48" Type="http://schemas.openxmlformats.org/officeDocument/2006/relationships/hyperlink" Target="https://doi.org/10.1016/j.eiar.2025.108075" TargetMode="External"/><Relationship Id="rId8" Type="http://schemas.openxmlformats.org/officeDocument/2006/relationships/hyperlink" Target="https://www.sciencedirect.com/science/article/pii/S0921344915301245"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sciencedirect.com/science/article/pii/S2325426225000725" TargetMode="External"/><Relationship Id="rId17" Type="http://schemas.openxmlformats.org/officeDocument/2006/relationships/hyperlink" Target="https://globalgoals.goldstandard.org/standards/448_V1.0_Recovery-and-recycling-of-material-from-solid-wastes.pdf" TargetMode="External"/><Relationship Id="rId25" Type="http://schemas.openxmlformats.org/officeDocument/2006/relationships/hyperlink" Target="https://vietstock.vn/2026/07/tphcm-van-chon-lap-gan-60-rac-sinh-hoat-768-1474238.htm" TargetMode="External"/><Relationship Id="rId33" Type="http://schemas.openxmlformats.org/officeDocument/2006/relationships/hyperlink" Target="https://www.ipcc-nggip.iges.or.jp/public/2006gl/vol5.html" TargetMode="External"/><Relationship Id="rId38" Type="http://schemas.openxmlformats.org/officeDocument/2006/relationships/hyperlink" Target="https://fbcaglobal.com/storage/files/ace-impact-assessment-study-of-an-eu-wide-collection-for-recycling-target-of-beverage-cartons-roland-berger.pdf" TargetMode="External"/><Relationship Id="rId46" Type="http://schemas.openxmlformats.org/officeDocument/2006/relationships/hyperlink" Target="https://ghgprotocol.org/sites/default/files/standards/Scope3_Calculation_Guidance_0.pdf" TargetMode="External"/><Relationship Id="rId20" Type="http://schemas.openxmlformats.org/officeDocument/2006/relationships/hyperlink" Target="https://quacert.gov.vn/tin-tuc/chi-tiet/2635" TargetMode="External"/><Relationship Id="rId41" Type="http://schemas.openxmlformats.org/officeDocument/2006/relationships/hyperlink" Target="https://cdm.unfccc.int/methodologies/PAmethodologies/tools/am-tool-04-v7.pdf"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4951</Words>
  <Characters>28227</Characters>
  <Application>Microsoft Office Word</Application>
  <DocSecurity>0</DocSecurity>
  <Lines>235</Lines>
  <Paragraphs>66</Paragraphs>
  <ScaleCrop>false</ScaleCrop>
  <Company/>
  <LinksUpToDate>false</LinksUpToDate>
  <CharactersWithSpaces>33112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Định lượng lợi ích khí hậu của thu gom và tái chế vỏ hộp sữa tại Việt Nam</dc:title>
  <dc:creator>Nguyễn Thị Thu Trang</dc:creator>
  <cp:lastModifiedBy>Nguyen Thu Trang</cp:lastModifiedBy>
  <cp:revision>2</cp:revision>
  <dcterms:created xsi:type="dcterms:W3CDTF">2026-09-30T13:41:00Z</dcterms:created>
  <dcterms:modified xsi:type="dcterms:W3CDTF">2026-10-16T03:09:00Z</dcterms:modified>
</cp:coreProperties>
</file>